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800"/>
        <w:jc w:val="both"/>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承德市司法局</w:t>
      </w:r>
    </w:p>
    <w:p>
      <w:pPr>
        <w:ind w:firstLine="2200" w:firstLineChars="500"/>
        <w:jc w:val="both"/>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20</w:t>
      </w:r>
      <w:r>
        <w:rPr>
          <w:rFonts w:ascii="Times New Roman" w:hAnsi="Times New Roman" w:eastAsia="方正小标宋_GBK" w:cs="Times New Roman"/>
          <w:sz w:val="44"/>
          <w:szCs w:val="44"/>
        </w:rPr>
        <w:t>年部门预算信息公开</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按照《中华人民共和国预算法》、《地方预决算公开操作规程》和《河北省省级预算公开办法》规定以及《承德市财政局关于批复2020年市本级部门收支预算的通知》（承财预【2020】</w:t>
      </w:r>
      <w:r>
        <w:rPr>
          <w:rFonts w:hint="eastAsia" w:ascii="方正仿宋_GBK" w:hAnsi="Times New Roman" w:eastAsia="方正仿宋_GBK" w:cs="Times New Roman"/>
          <w:sz w:val="32"/>
          <w:szCs w:val="32"/>
          <w:lang w:val="en-US" w:eastAsia="zh-CN"/>
        </w:rPr>
        <w:t>24</w:t>
      </w:r>
      <w:r>
        <w:rPr>
          <w:rFonts w:hint="eastAsia" w:ascii="方正仿宋_GBK" w:hAnsi="Times New Roman" w:eastAsia="方正仿宋_GBK" w:cs="Times New Roman"/>
          <w:sz w:val="32"/>
          <w:szCs w:val="32"/>
        </w:rPr>
        <w:t>号）文件要求，现将</w:t>
      </w:r>
      <w:r>
        <w:rPr>
          <w:rFonts w:hint="eastAsia" w:ascii="方正仿宋_GBK" w:hAnsi="Times New Roman" w:eastAsia="方正仿宋_GBK" w:cs="Times New Roman"/>
          <w:sz w:val="32"/>
          <w:szCs w:val="32"/>
          <w:lang w:eastAsia="zh-CN"/>
        </w:rPr>
        <w:t>承德市司法局</w:t>
      </w:r>
      <w:r>
        <w:rPr>
          <w:rFonts w:hint="eastAsia" w:ascii="方正仿宋_GBK" w:hAnsi="Times New Roman" w:eastAsia="方正仿宋_GBK" w:cs="Times New Roman"/>
          <w:sz w:val="32"/>
          <w:szCs w:val="32"/>
        </w:rPr>
        <w:t>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 xml:space="preserve">部门职责： </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贯彻落实党中央和省、市委关于全面依法治市的方针政策和决策部署，坚持和加强党对全面依法治市的集中统一领导。主要职责是：</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(一)承担全面依法治市重大问题的政策研究，组织协调有关方面提出全面依法治市中长期规划建议，负责有关重大决策部署督察工作。</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承担统筹规划地方立法工作的责任。组织协调有关方面提出立法规划和年度立法工作计划的建议，负责跟踪了解各部门对立法工作计划的落实情况，加强组织协调和督促指导，研究提出立法与改革决策相衔接的意见、措施。参与面向社会征集地方性法规制定项目的建议，负责面向社会征集政府规章草案制定项目的建议。</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三)负责起草或组织起草有关地方性法规、政府规章草案承办各部门报送市政府的地方性法规和政府规章草案的审查工作负责市政府规章立法解释草案的起草、立法后评估工作;负责立法协调，组织开展政府规章清理工作。</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负责市政府各部门规范性文件的备案审查工作。负责对市政府政策措施、规范性文件和合同协议的合法性审核工作;承办市政府交办的涉法事务;承办市政府规章上报省政府和市人大常委会备案工作;负责市政府规章的编纂工作。</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五)承担统筹推进承德法治政府建设的责任。指导、监督市政府各部门、地方各级政府依法行政工作;负责综合协调行政执法，承担推进行政执法体制改革有关工作，推进严格规范公正文明执法;依法承办行政复议案件;指导、监督全市行政复议和行政应诉工作。</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六)承担统筹规划全市法治社会建设的责任。负责拟订全市法治宣传教育规划，组织实施普法宣传工作;推动全市人民参与和促进法治建设;指导全市依法治理和法治创建工作;指导全市调解工作，负责和指导全市人民陪审员、人民监督员选任管理工作;负责指导全市司法所建设。</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(七)管理承德市戒毒管理所。指导、监督强制隔离戒毒执行和戒毒康复工作;对全市社区戒毒和社区康复工作提供指导支持和协助;负责全市社区矫正工作;负责全市刑满释放人员帮教安置工作。</w:t>
      </w:r>
    </w:p>
    <w:p>
      <w:pPr>
        <w:ind w:firstLine="640" w:firstLineChars="200"/>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(八)负责制定全市公共法律服务体系建设规划并指导实施，统筹和布局城乡、区域法律服务资源。负责全市律师、公证、法律援助、司法鉴定、仲裁和基层法律服务管理工作</w:t>
      </w:r>
      <w:r>
        <w:rPr>
          <w:rFonts w:hint="eastAsia" w:ascii="方正仿宋_GBK" w:hAnsi="Times New Roman" w:eastAsia="方正仿宋_GBK" w:cs="Times New Roman"/>
          <w:sz w:val="32"/>
          <w:szCs w:val="32"/>
          <w:lang w:eastAsia="zh-CN"/>
        </w:rPr>
        <w:t>。</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(九)负责全市国家统一法律职业资格考试的组织实施工作负责国家统一法律职业资格和证书管理工作;负责规划和指导全市法律职业人员入职前培训工作。</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(十)负责本系统服装和警车等物资装备管理工作;指导监督本系统财务、装备、设施、场所等保障工作。</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(十一)规划、协调、指导全市法治人才队伍建设相关工作指导、监督本系统队伍建设;负责本系统警务管理和警务督察工作;协助各县(市、区)管理司法局领导干部。</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(十二)完成市委、市政府交办的其他任务。</w:t>
      </w:r>
    </w:p>
    <w:p>
      <w:pPr>
        <w:pStyle w:val="8"/>
        <w:widowControl/>
        <w:shd w:val="clear" w:color="auto" w:fill="FFFFFF"/>
        <w:spacing w:before="0" w:beforeAutospacing="0" w:after="0" w:afterAutospacing="0"/>
        <w:ind w:firstLine="640" w:firstLineChars="200"/>
        <w:jc w:val="both"/>
        <w:rPr>
          <w:rFonts w:hint="eastAsia" w:ascii="方正仿宋_GBK" w:hAnsi="仿宋_GB2312" w:eastAsia="方正仿宋_GBK" w:cs="仿宋_GB2312"/>
          <w:color w:val="000000"/>
          <w:sz w:val="32"/>
          <w:szCs w:val="32"/>
        </w:rPr>
      </w:pPr>
    </w:p>
    <w:p>
      <w:pPr>
        <w:autoSpaceDE w:val="0"/>
        <w:autoSpaceDN w:val="0"/>
        <w:adjustRightInd w:val="0"/>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 xml:space="preserve">机构设置： </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9"/>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01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3013"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宋体" w:hAnsi="宋体"/>
              </w:rPr>
            </w:pPr>
            <w:r>
              <w:rPr>
                <w:rFonts w:hint="eastAsia" w:ascii="宋体" w:hAnsi="宋体"/>
                <w:lang w:eastAsia="zh-CN"/>
              </w:rPr>
              <w:t>承德市司法局</w:t>
            </w:r>
            <w:r>
              <w:rPr>
                <w:rFonts w:hint="eastAsia" w:ascii="宋体" w:hAnsi="宋体"/>
              </w:rPr>
              <w:t>（机关）</w:t>
            </w:r>
          </w:p>
        </w:tc>
        <w:tc>
          <w:tcPr>
            <w:tcW w:w="1134" w:type="dxa"/>
            <w:shd w:val="clear" w:color="auto" w:fill="auto"/>
            <w:vAlign w:val="center"/>
          </w:tcPr>
          <w:p>
            <w:pPr>
              <w:spacing w:line="300" w:lineRule="exact"/>
              <w:jc w:val="center"/>
              <w:rPr>
                <w:rFonts w:ascii="宋体" w:hAnsi="宋体"/>
              </w:rPr>
            </w:pPr>
            <w:r>
              <w:rPr>
                <w:rFonts w:hint="eastAsia" w:ascii="宋体" w:hAnsi="宋体"/>
              </w:rPr>
              <w:t>行政</w:t>
            </w:r>
          </w:p>
        </w:tc>
        <w:tc>
          <w:tcPr>
            <w:tcW w:w="1276" w:type="dxa"/>
            <w:shd w:val="clear" w:color="auto" w:fill="auto"/>
            <w:vAlign w:val="center"/>
          </w:tcPr>
          <w:p>
            <w:pPr>
              <w:spacing w:line="300" w:lineRule="exact"/>
              <w:jc w:val="center"/>
              <w:rPr>
                <w:rFonts w:ascii="宋体" w:hAnsi="宋体"/>
              </w:rPr>
            </w:pPr>
            <w:r>
              <w:rPr>
                <w:rFonts w:hint="eastAsia" w:ascii="宋体" w:hAnsi="宋体"/>
              </w:rPr>
              <w:t>正</w:t>
            </w:r>
            <w:r>
              <w:rPr>
                <w:rFonts w:hint="eastAsia" w:ascii="宋体" w:hAnsi="宋体"/>
                <w:lang w:eastAsia="zh-CN"/>
              </w:rPr>
              <w:t>处</w:t>
            </w:r>
            <w:r>
              <w:rPr>
                <w:rFonts w:hint="eastAsia" w:ascii="宋体" w:hAnsi="宋体"/>
              </w:rPr>
              <w:t>级</w:t>
            </w:r>
          </w:p>
        </w:tc>
        <w:tc>
          <w:tcPr>
            <w:tcW w:w="3013" w:type="dxa"/>
            <w:shd w:val="clear" w:color="auto" w:fill="auto"/>
            <w:vAlign w:val="center"/>
          </w:tcPr>
          <w:p>
            <w:pPr>
              <w:spacing w:line="300" w:lineRule="exact"/>
              <w:jc w:val="center"/>
              <w:rPr>
                <w:rFonts w:ascii="宋体" w:hAnsi="宋体"/>
              </w:rPr>
            </w:pPr>
            <w:r>
              <w:rPr>
                <w:rFonts w:hint="eastAsia" w:ascii="宋体" w:hAnsi="宋体"/>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hint="eastAsia" w:ascii="宋体" w:hAnsi="宋体" w:eastAsia="宋体"/>
                <w:lang w:eastAsia="zh-CN"/>
              </w:rPr>
            </w:pPr>
            <w:r>
              <w:rPr>
                <w:rFonts w:hint="eastAsia" w:ascii="宋体" w:hAnsi="宋体"/>
                <w:lang w:eastAsia="zh-CN"/>
              </w:rPr>
              <w:t>承德市公证处</w:t>
            </w:r>
          </w:p>
        </w:tc>
        <w:tc>
          <w:tcPr>
            <w:tcW w:w="1134" w:type="dxa"/>
            <w:shd w:val="clear" w:color="auto" w:fill="auto"/>
            <w:vAlign w:val="center"/>
          </w:tcPr>
          <w:p>
            <w:pPr>
              <w:spacing w:line="300" w:lineRule="exact"/>
              <w:jc w:val="center"/>
              <w:rPr>
                <w:rFonts w:ascii="宋体" w:hAnsi="宋体"/>
              </w:rPr>
            </w:pPr>
            <w:r>
              <w:rPr>
                <w:rFonts w:hint="eastAsia" w:ascii="宋体" w:hAnsi="宋体"/>
              </w:rPr>
              <w:t>事业</w:t>
            </w:r>
          </w:p>
        </w:tc>
        <w:tc>
          <w:tcPr>
            <w:tcW w:w="1276" w:type="dxa"/>
            <w:shd w:val="clear" w:color="auto" w:fill="auto"/>
            <w:vAlign w:val="center"/>
          </w:tcPr>
          <w:p>
            <w:pPr>
              <w:spacing w:line="300" w:lineRule="exact"/>
              <w:jc w:val="center"/>
              <w:rPr>
                <w:rFonts w:ascii="宋体" w:hAnsi="宋体"/>
              </w:rPr>
            </w:pPr>
            <w:r>
              <w:rPr>
                <w:rFonts w:hint="eastAsia" w:ascii="宋体" w:hAnsi="宋体"/>
                <w:lang w:eastAsia="zh-CN"/>
              </w:rPr>
              <w:t>正科</w:t>
            </w:r>
            <w:r>
              <w:rPr>
                <w:rFonts w:hint="eastAsia" w:ascii="宋体" w:hAnsi="宋体"/>
              </w:rPr>
              <w:t>级</w:t>
            </w:r>
          </w:p>
        </w:tc>
        <w:tc>
          <w:tcPr>
            <w:tcW w:w="3013" w:type="dxa"/>
            <w:shd w:val="clear" w:color="auto" w:fill="auto"/>
            <w:vAlign w:val="center"/>
          </w:tcPr>
          <w:p>
            <w:pPr>
              <w:spacing w:line="300" w:lineRule="exact"/>
              <w:jc w:val="center"/>
              <w:rPr>
                <w:rFonts w:ascii="宋体" w:hAnsi="宋体"/>
              </w:rPr>
            </w:pPr>
            <w:r>
              <w:rPr>
                <w:rFonts w:hint="eastAsia" w:ascii="宋体" w:hAnsi="宋体"/>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hint="eastAsia" w:ascii="宋体" w:hAnsi="宋体" w:eastAsia="宋体"/>
                <w:lang w:eastAsia="zh-CN"/>
              </w:rPr>
            </w:pPr>
            <w:r>
              <w:rPr>
                <w:rFonts w:hint="eastAsia" w:ascii="宋体" w:hAnsi="宋体"/>
                <w:lang w:eastAsia="zh-CN"/>
              </w:rPr>
              <w:t>承德市戒毒管理所</w:t>
            </w:r>
          </w:p>
        </w:tc>
        <w:tc>
          <w:tcPr>
            <w:tcW w:w="1134" w:type="dxa"/>
            <w:shd w:val="clear" w:color="auto" w:fill="auto"/>
            <w:vAlign w:val="center"/>
          </w:tcPr>
          <w:p>
            <w:pPr>
              <w:spacing w:line="300" w:lineRule="exact"/>
              <w:jc w:val="center"/>
              <w:rPr>
                <w:rFonts w:hint="eastAsia" w:ascii="宋体" w:hAnsi="宋体" w:eastAsia="宋体"/>
                <w:lang w:eastAsia="zh-CN"/>
              </w:rPr>
            </w:pPr>
            <w:r>
              <w:rPr>
                <w:rFonts w:hint="eastAsia" w:ascii="宋体" w:hAnsi="宋体"/>
                <w:lang w:eastAsia="zh-CN"/>
              </w:rPr>
              <w:t>行政</w:t>
            </w:r>
          </w:p>
        </w:tc>
        <w:tc>
          <w:tcPr>
            <w:tcW w:w="1276" w:type="dxa"/>
            <w:shd w:val="clear" w:color="auto" w:fill="auto"/>
            <w:vAlign w:val="center"/>
          </w:tcPr>
          <w:p>
            <w:pPr>
              <w:spacing w:line="300" w:lineRule="exact"/>
              <w:jc w:val="center"/>
              <w:rPr>
                <w:rFonts w:ascii="宋体" w:hAnsi="宋体"/>
              </w:rPr>
            </w:pPr>
            <w:r>
              <w:rPr>
                <w:rFonts w:hint="eastAsia" w:ascii="宋体" w:hAnsi="宋体"/>
                <w:lang w:eastAsia="zh-CN"/>
              </w:rPr>
              <w:t>副处</w:t>
            </w:r>
            <w:r>
              <w:rPr>
                <w:rFonts w:hint="eastAsia" w:ascii="宋体" w:hAnsi="宋体"/>
              </w:rPr>
              <w:t>级</w:t>
            </w:r>
          </w:p>
        </w:tc>
        <w:tc>
          <w:tcPr>
            <w:tcW w:w="3013" w:type="dxa"/>
            <w:shd w:val="clear" w:color="auto" w:fill="auto"/>
            <w:vAlign w:val="center"/>
          </w:tcPr>
          <w:p>
            <w:pPr>
              <w:spacing w:line="300" w:lineRule="exact"/>
              <w:jc w:val="center"/>
              <w:rPr>
                <w:rFonts w:ascii="宋体" w:hAnsi="宋体"/>
              </w:rPr>
            </w:pPr>
            <w:r>
              <w:rPr>
                <w:rFonts w:hint="eastAsia" w:ascii="宋体" w:hAnsi="宋体"/>
              </w:rPr>
              <w:t>财政性资金基本保证</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按照预算管理有关规定，目前我部门预算的编制实行综合预算管理，即全部收入和支出都反映在预算中。</w:t>
      </w:r>
      <w:r>
        <w:rPr>
          <w:rFonts w:hint="eastAsia" w:ascii="方正仿宋_GBK" w:hAnsi="Times New Roman" w:eastAsia="方正仿宋_GBK" w:cs="Times New Roman"/>
          <w:sz w:val="32"/>
          <w:szCs w:val="32"/>
          <w:lang w:eastAsia="zh-CN"/>
        </w:rPr>
        <w:t>承德市司法局</w:t>
      </w:r>
      <w:r>
        <w:rPr>
          <w:rFonts w:hint="eastAsia" w:ascii="方正仿宋_GBK" w:hAnsi="Times New Roman" w:eastAsia="方正仿宋_GBK" w:cs="Times New Roman"/>
          <w:sz w:val="32"/>
          <w:szCs w:val="32"/>
        </w:rPr>
        <w:t>机关及所属事业单位的收支包含在部门预算中。</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1、收入说明</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反映本部门当年全部收入。2020年预算收入</w:t>
      </w:r>
      <w:r>
        <w:rPr>
          <w:rFonts w:hint="eastAsia" w:ascii="方正仿宋_GBK" w:hAnsi="Times New Roman" w:eastAsia="方正仿宋_GBK" w:cs="Times New Roman"/>
          <w:sz w:val="32"/>
          <w:szCs w:val="32"/>
          <w:lang w:val="en-US" w:eastAsia="zh-CN"/>
        </w:rPr>
        <w:t>3453.33</w:t>
      </w:r>
      <w:r>
        <w:rPr>
          <w:rFonts w:hint="eastAsia" w:ascii="方正仿宋_GBK" w:hAnsi="Times New Roman" w:eastAsia="方正仿宋_GBK" w:cs="Times New Roman"/>
          <w:sz w:val="32"/>
          <w:szCs w:val="32"/>
        </w:rPr>
        <w:t>万元，其中：一般公共预算收入</w:t>
      </w:r>
      <w:r>
        <w:rPr>
          <w:rFonts w:hint="eastAsia" w:ascii="方正仿宋_GBK" w:hAnsi="Times New Roman" w:eastAsia="方正仿宋_GBK" w:cs="Times New Roman"/>
          <w:sz w:val="32"/>
          <w:szCs w:val="32"/>
          <w:lang w:val="en-US" w:eastAsia="zh-CN"/>
        </w:rPr>
        <w:t>3453.33</w:t>
      </w:r>
      <w:r>
        <w:rPr>
          <w:rFonts w:hint="eastAsia" w:ascii="方正仿宋_GBK" w:hAnsi="Times New Roman" w:eastAsia="方正仿宋_GBK" w:cs="Times New Roman"/>
          <w:sz w:val="32"/>
          <w:szCs w:val="32"/>
        </w:rPr>
        <w:t>万元，基金预算收入0万元，财政专户核拨收入</w:t>
      </w:r>
      <w:r>
        <w:rPr>
          <w:rFonts w:hint="eastAsia" w:ascii="方正仿宋_GBK" w:hAnsi="Times New Roman" w:eastAsia="方正仿宋_GBK" w:cs="Times New Roman"/>
          <w:sz w:val="32"/>
          <w:szCs w:val="32"/>
          <w:lang w:val="en-US" w:eastAsia="zh-CN"/>
        </w:rPr>
        <w:t>0</w:t>
      </w:r>
      <w:r>
        <w:rPr>
          <w:rFonts w:hint="eastAsia" w:ascii="方正仿宋_GBK" w:hAnsi="Times New Roman" w:eastAsia="方正仿宋_GBK" w:cs="Times New Roman"/>
          <w:sz w:val="32"/>
          <w:szCs w:val="32"/>
        </w:rPr>
        <w:t>万元，其他来源收入</w:t>
      </w:r>
      <w:r>
        <w:rPr>
          <w:rFonts w:hint="eastAsia" w:ascii="方正仿宋_GBK" w:hAnsi="Times New Roman" w:eastAsia="方正仿宋_GBK" w:cs="Times New Roman"/>
          <w:sz w:val="32"/>
          <w:szCs w:val="32"/>
          <w:lang w:val="en-US" w:eastAsia="zh-CN"/>
        </w:rPr>
        <w:t>0</w:t>
      </w:r>
      <w:r>
        <w:rPr>
          <w:rFonts w:hint="eastAsia" w:ascii="方正仿宋_GBK" w:hAnsi="Times New Roman" w:eastAsia="方正仿宋_GBK" w:cs="Times New Roman"/>
          <w:sz w:val="32"/>
          <w:szCs w:val="32"/>
        </w:rPr>
        <w:t>万元。</w:t>
      </w:r>
    </w:p>
    <w:p>
      <w:pPr>
        <w:ind w:firstLine="64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2、支出说明</w:t>
      </w:r>
    </w:p>
    <w:p>
      <w:pPr>
        <w:ind w:firstLine="640"/>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收支预算总表支出栏、基本支出表、项目支出表按经济分类和支出功能分类科目编制，反映</w:t>
      </w:r>
      <w:r>
        <w:rPr>
          <w:rFonts w:hint="eastAsia" w:ascii="方正仿宋_GBK" w:hAnsi="Times New Roman" w:eastAsia="方正仿宋_GBK" w:cs="Times New Roman"/>
          <w:sz w:val="32"/>
          <w:szCs w:val="32"/>
          <w:lang w:eastAsia="zh-CN"/>
        </w:rPr>
        <w:t>承德市司法局</w:t>
      </w:r>
      <w:r>
        <w:rPr>
          <w:rFonts w:hint="eastAsia" w:ascii="方正仿宋_GBK" w:hAnsi="Times New Roman" w:eastAsia="方正仿宋_GBK" w:cs="Times New Roman"/>
          <w:sz w:val="32"/>
          <w:szCs w:val="32"/>
        </w:rPr>
        <w:t>年度部门预算中支出预算的总体情况。2020年支出预算</w:t>
      </w:r>
      <w:r>
        <w:rPr>
          <w:rFonts w:hint="eastAsia" w:ascii="方正仿宋_GBK" w:hAnsi="Times New Roman" w:eastAsia="方正仿宋_GBK" w:cs="Times New Roman"/>
          <w:sz w:val="32"/>
          <w:szCs w:val="32"/>
          <w:lang w:val="en-US" w:eastAsia="zh-CN"/>
        </w:rPr>
        <w:t>3453.33</w:t>
      </w:r>
      <w:r>
        <w:rPr>
          <w:rFonts w:hint="eastAsia" w:ascii="方正仿宋_GBK" w:hAnsi="Times New Roman" w:eastAsia="方正仿宋_GBK" w:cs="Times New Roman"/>
          <w:sz w:val="32"/>
          <w:szCs w:val="32"/>
        </w:rPr>
        <w:t>万元，其中基本支出</w:t>
      </w:r>
      <w:r>
        <w:rPr>
          <w:rFonts w:hint="eastAsia" w:ascii="方正仿宋_GBK" w:hAnsi="Times New Roman" w:eastAsia="方正仿宋_GBK" w:cs="Times New Roman"/>
          <w:sz w:val="32"/>
          <w:szCs w:val="32"/>
          <w:lang w:val="en-US" w:eastAsia="zh-CN"/>
        </w:rPr>
        <w:t>3059.32</w:t>
      </w:r>
      <w:r>
        <w:rPr>
          <w:rFonts w:hint="eastAsia" w:ascii="方正仿宋_GBK" w:hAnsi="Times New Roman" w:eastAsia="方正仿宋_GBK" w:cs="Times New Roman"/>
          <w:sz w:val="32"/>
          <w:szCs w:val="32"/>
        </w:rPr>
        <w:t>万元，包括人员经费</w:t>
      </w:r>
      <w:r>
        <w:rPr>
          <w:rFonts w:hint="eastAsia" w:ascii="方正仿宋_GBK" w:hAnsi="Times New Roman" w:eastAsia="方正仿宋_GBK" w:cs="Times New Roman"/>
          <w:sz w:val="32"/>
          <w:szCs w:val="32"/>
          <w:lang w:val="en-US" w:eastAsia="zh-CN"/>
        </w:rPr>
        <w:t>2706.37</w:t>
      </w:r>
      <w:r>
        <w:rPr>
          <w:rFonts w:hint="eastAsia" w:ascii="方正仿宋_GBK" w:hAnsi="Times New Roman" w:eastAsia="方正仿宋_GBK" w:cs="Times New Roman"/>
          <w:sz w:val="32"/>
          <w:szCs w:val="32"/>
        </w:rPr>
        <w:t>万元和日常公用经费</w:t>
      </w:r>
      <w:r>
        <w:rPr>
          <w:rFonts w:hint="eastAsia" w:ascii="方正仿宋_GBK" w:hAnsi="Times New Roman" w:eastAsia="方正仿宋_GBK" w:cs="Times New Roman"/>
          <w:sz w:val="32"/>
          <w:szCs w:val="32"/>
          <w:lang w:val="en-US" w:eastAsia="zh-CN"/>
        </w:rPr>
        <w:t>352.95</w:t>
      </w:r>
      <w:r>
        <w:rPr>
          <w:rFonts w:hint="eastAsia" w:ascii="方正仿宋_GBK" w:hAnsi="Times New Roman" w:eastAsia="方正仿宋_GBK" w:cs="Times New Roman"/>
          <w:sz w:val="32"/>
          <w:szCs w:val="32"/>
        </w:rPr>
        <w:t>万元；项目支出</w:t>
      </w:r>
      <w:r>
        <w:rPr>
          <w:rFonts w:hint="eastAsia" w:ascii="方正仿宋_GBK" w:hAnsi="Times New Roman" w:eastAsia="方正仿宋_GBK" w:cs="Times New Roman"/>
          <w:sz w:val="32"/>
          <w:szCs w:val="32"/>
          <w:lang w:val="en-US" w:eastAsia="zh-CN"/>
        </w:rPr>
        <w:t>394.01</w:t>
      </w:r>
      <w:r>
        <w:rPr>
          <w:rFonts w:hint="eastAsia" w:ascii="方正仿宋_GBK" w:hAnsi="Times New Roman" w:eastAsia="方正仿宋_GBK" w:cs="Times New Roman"/>
          <w:sz w:val="32"/>
          <w:szCs w:val="32"/>
        </w:rPr>
        <w:t>万元，主要为</w:t>
      </w:r>
      <w:r>
        <w:rPr>
          <w:rFonts w:hint="eastAsia" w:ascii="方正仿宋_GBK" w:hAnsi="Times New Roman" w:eastAsia="方正仿宋_GBK" w:cs="Times New Roman"/>
          <w:sz w:val="32"/>
          <w:szCs w:val="32"/>
          <w:lang w:eastAsia="zh-CN"/>
        </w:rPr>
        <w:t>法律顾问</w:t>
      </w:r>
      <w:r>
        <w:rPr>
          <w:rFonts w:hint="eastAsia" w:ascii="方正仿宋_GBK" w:hAnsi="Times New Roman" w:eastAsia="方正仿宋_GBK" w:cs="Times New Roman"/>
          <w:sz w:val="32"/>
          <w:szCs w:val="32"/>
        </w:rPr>
        <w:t>经费、</w:t>
      </w:r>
      <w:r>
        <w:rPr>
          <w:rFonts w:hint="eastAsia" w:ascii="方正仿宋_GBK" w:hAnsi="Times New Roman" w:eastAsia="方正仿宋_GBK" w:cs="Times New Roman"/>
          <w:sz w:val="32"/>
          <w:szCs w:val="32"/>
          <w:lang w:eastAsia="zh-CN"/>
        </w:rPr>
        <w:t>社区矫正业务</w:t>
      </w:r>
      <w:r>
        <w:rPr>
          <w:rFonts w:hint="eastAsia" w:ascii="方正仿宋_GBK" w:hAnsi="Times New Roman" w:eastAsia="方正仿宋_GBK" w:cs="Times New Roman"/>
          <w:sz w:val="32"/>
          <w:szCs w:val="32"/>
        </w:rPr>
        <w:t>经费、执法人员培训经费、普法宣传经费等</w:t>
      </w:r>
      <w:r>
        <w:rPr>
          <w:rFonts w:hint="eastAsia" w:ascii="方正仿宋_GBK" w:hAnsi="Times New Roman" w:eastAsia="方正仿宋_GBK" w:cs="Times New Roman"/>
          <w:sz w:val="32"/>
          <w:szCs w:val="32"/>
          <w:lang w:eastAsia="zh-CN"/>
        </w:rPr>
        <w:t>。</w:t>
      </w:r>
    </w:p>
    <w:p>
      <w:pPr>
        <w:ind w:firstLine="64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3、比上年增减情况</w:t>
      </w:r>
    </w:p>
    <w:p>
      <w:pPr>
        <w:ind w:firstLine="640"/>
        <w:rPr>
          <w:rFonts w:hint="eastAsia" w:ascii="方正仿宋_GBK" w:hAnsi="黑体" w:eastAsia="方正仿宋_GBK" w:cs="Times New Roman"/>
          <w:sz w:val="32"/>
          <w:szCs w:val="32"/>
          <w:lang w:eastAsia="zh-CN"/>
        </w:rPr>
      </w:pPr>
      <w:r>
        <w:rPr>
          <w:rFonts w:hint="eastAsia" w:ascii="方正仿宋_GBK" w:hAnsi="Times New Roman" w:eastAsia="方正仿宋_GBK" w:cs="Times New Roman"/>
          <w:sz w:val="32"/>
          <w:szCs w:val="32"/>
        </w:rPr>
        <w:t>2020年预算收支安排</w:t>
      </w:r>
      <w:r>
        <w:rPr>
          <w:rFonts w:hint="eastAsia" w:ascii="方正仿宋_GBK" w:hAnsi="Times New Roman" w:eastAsia="方正仿宋_GBK" w:cs="Times New Roman"/>
          <w:sz w:val="32"/>
          <w:szCs w:val="32"/>
          <w:lang w:val="en-US" w:eastAsia="zh-CN"/>
        </w:rPr>
        <w:t>3453.33</w:t>
      </w:r>
      <w:r>
        <w:rPr>
          <w:rFonts w:hint="eastAsia" w:ascii="方正仿宋_GBK" w:hAnsi="Times New Roman" w:eastAsia="方正仿宋_GBK" w:cs="Times New Roman"/>
          <w:sz w:val="32"/>
          <w:szCs w:val="32"/>
        </w:rPr>
        <w:t>万元，较2019年预算（剔除不再列入部门预算项目支出的转移支付资金）增加</w:t>
      </w:r>
      <w:r>
        <w:rPr>
          <w:rFonts w:hint="eastAsia" w:ascii="方正仿宋_GBK" w:hAnsi="Times New Roman" w:eastAsia="方正仿宋_GBK" w:cs="Times New Roman"/>
          <w:sz w:val="32"/>
          <w:szCs w:val="32"/>
          <w:lang w:val="en-US" w:eastAsia="zh-CN"/>
        </w:rPr>
        <w:t>226.59</w:t>
      </w:r>
      <w:r>
        <w:rPr>
          <w:rFonts w:hint="eastAsia" w:ascii="方正仿宋_GBK" w:hAnsi="Times New Roman" w:eastAsia="方正仿宋_GBK" w:cs="Times New Roman"/>
          <w:sz w:val="32"/>
          <w:szCs w:val="32"/>
        </w:rPr>
        <w:t>万元，其中：基本支出增加</w:t>
      </w:r>
      <w:r>
        <w:rPr>
          <w:rFonts w:hint="eastAsia" w:ascii="方正仿宋_GBK" w:hAnsi="Times New Roman" w:eastAsia="方正仿宋_GBK" w:cs="Times New Roman"/>
          <w:sz w:val="32"/>
          <w:szCs w:val="32"/>
          <w:lang w:val="en-US" w:eastAsia="zh-CN"/>
        </w:rPr>
        <w:t>411.98</w:t>
      </w:r>
      <w:r>
        <w:rPr>
          <w:rFonts w:hint="eastAsia" w:ascii="方正仿宋_GBK" w:hAnsi="Times New Roman" w:eastAsia="方正仿宋_GBK" w:cs="Times New Roman"/>
          <w:sz w:val="32"/>
          <w:szCs w:val="32"/>
        </w:rPr>
        <w:t>万元，主要为增加人员经费支出；项目支出</w:t>
      </w:r>
      <w:r>
        <w:rPr>
          <w:rFonts w:hint="eastAsia" w:ascii="方正仿宋_GBK" w:hAnsi="Times New Roman" w:eastAsia="方正仿宋_GBK" w:cs="Times New Roman"/>
          <w:sz w:val="32"/>
          <w:szCs w:val="32"/>
          <w:lang w:eastAsia="zh-CN"/>
        </w:rPr>
        <w:t>减少185.39</w:t>
      </w:r>
      <w:r>
        <w:rPr>
          <w:rFonts w:hint="eastAsia" w:ascii="方正仿宋_GBK" w:hAnsi="Times New Roman" w:eastAsia="方正仿宋_GBK" w:cs="Times New Roman"/>
          <w:sz w:val="32"/>
          <w:szCs w:val="32"/>
        </w:rPr>
        <w:t>万元，主要</w:t>
      </w:r>
      <w:r>
        <w:rPr>
          <w:rFonts w:hint="eastAsia" w:ascii="方正仿宋_GBK" w:hAnsi="Times New Roman" w:eastAsia="方正仿宋_GBK" w:cs="Times New Roman"/>
          <w:sz w:val="32"/>
          <w:szCs w:val="32"/>
          <w:lang w:eastAsia="zh-CN"/>
        </w:rPr>
        <w:t>是承德市戒毒管理所减少设施建设支出。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方正仿宋_GBK" w:hAnsi="Times New Roman" w:eastAsia="方正仿宋_GBK" w:cs="Times New Roman"/>
          <w:sz w:val="32"/>
          <w:szCs w:val="32"/>
        </w:rPr>
        <w:t>020年，我</w:t>
      </w:r>
      <w:r>
        <w:rPr>
          <w:rFonts w:hint="eastAsia" w:ascii="方正仿宋_GBK" w:hAnsi="Times New Roman" w:eastAsia="方正仿宋_GBK" w:cs="Times New Roman"/>
          <w:sz w:val="32"/>
          <w:szCs w:val="32"/>
          <w:lang w:eastAsia="zh-CN"/>
        </w:rPr>
        <w:t>部门</w:t>
      </w:r>
      <w:r>
        <w:rPr>
          <w:rFonts w:hint="eastAsia" w:ascii="方正仿宋_GBK" w:hAnsi="Times New Roman" w:eastAsia="方正仿宋_GBK" w:cs="Times New Roman"/>
          <w:sz w:val="32"/>
          <w:szCs w:val="32"/>
        </w:rPr>
        <w:t>机关运行经费共计安排</w:t>
      </w:r>
      <w:r>
        <w:rPr>
          <w:rFonts w:hint="eastAsia" w:ascii="方正仿宋_GBK" w:hAnsi="Times New Roman" w:eastAsia="方正仿宋_GBK" w:cs="Times New Roman"/>
          <w:sz w:val="32"/>
          <w:szCs w:val="32"/>
          <w:lang w:val="en-US" w:eastAsia="zh-CN"/>
        </w:rPr>
        <w:t>352.95</w:t>
      </w:r>
      <w:r>
        <w:rPr>
          <w:rFonts w:hint="eastAsia" w:ascii="方正仿宋_GBK" w:hAnsi="Times New Roman" w:eastAsia="方正仿宋_GBK" w:cs="Times New Roman"/>
          <w:sz w:val="32"/>
          <w:szCs w:val="32"/>
        </w:rPr>
        <w:t>万元，主要用于日常维修、办公用房水电费、办公用房取暖费、办公用房物业管理费等日常运行支出</w:t>
      </w:r>
      <w:r>
        <w:rPr>
          <w:rFonts w:hint="eastAsia" w:ascii="方正仿宋_GBK" w:hAnsi="Times New Roman" w:eastAsia="方正仿宋_GBK" w:cs="Times New Roman"/>
          <w:sz w:val="32"/>
          <w:szCs w:val="32"/>
          <w:lang w:eastAsia="zh-CN"/>
        </w:rPr>
        <w:t>，其中办公费</w:t>
      </w:r>
      <w:r>
        <w:rPr>
          <w:rFonts w:hint="eastAsia" w:ascii="方正仿宋_GBK" w:hAnsi="Times New Roman" w:eastAsia="方正仿宋_GBK" w:cs="Times New Roman"/>
          <w:sz w:val="32"/>
          <w:szCs w:val="32"/>
          <w:lang w:val="en-US" w:eastAsia="zh-CN"/>
        </w:rPr>
        <w:t>74.04万元，邮电费62.53万元，办公取暖费68.61万元，差旅费5.45万元，公务用车运行费5.6万元，离退休干部经费11.54万元，公务交通补贴92.7万元，公务接待费3.16万元，工会经费13.56万元，福利费15.76万元</w:t>
      </w:r>
      <w:r>
        <w:rPr>
          <w:rFonts w:hint="eastAsia" w:ascii="方正仿宋_GBK" w:hAnsi="Times New Roman" w:eastAsia="方正仿宋_GBK" w:cs="Times New Roman"/>
          <w:sz w:val="32"/>
          <w:szCs w:val="32"/>
        </w:rPr>
        <w:t>。</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default"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rPr>
        <w:t>2020年，我</w:t>
      </w:r>
      <w:r>
        <w:rPr>
          <w:rFonts w:hint="eastAsia" w:ascii="方正仿宋_GBK" w:hAnsi="Times New Roman" w:eastAsia="方正仿宋_GBK" w:cs="Times New Roman"/>
          <w:sz w:val="32"/>
          <w:szCs w:val="32"/>
          <w:lang w:eastAsia="zh-CN"/>
        </w:rPr>
        <w:t>部门</w:t>
      </w:r>
      <w:r>
        <w:rPr>
          <w:rFonts w:hint="eastAsia" w:ascii="方正仿宋_GBK" w:hAnsi="Times New Roman" w:eastAsia="方正仿宋_GBK" w:cs="Times New Roman"/>
          <w:sz w:val="32"/>
          <w:szCs w:val="32"/>
        </w:rPr>
        <w:t>财政拨款“三公”经费预算安排</w:t>
      </w:r>
      <w:r>
        <w:rPr>
          <w:rFonts w:hint="eastAsia" w:ascii="方正仿宋_GBK" w:hAnsi="Times New Roman" w:eastAsia="方正仿宋_GBK" w:cs="Times New Roman"/>
          <w:sz w:val="32"/>
          <w:szCs w:val="32"/>
          <w:lang w:val="en-US" w:eastAsia="zh-CN"/>
        </w:rPr>
        <w:t>8.76</w:t>
      </w:r>
      <w:r>
        <w:rPr>
          <w:rFonts w:hint="eastAsia" w:ascii="方正仿宋_GBK" w:hAnsi="Times New Roman" w:eastAsia="方正仿宋_GBK" w:cs="Times New Roman"/>
          <w:sz w:val="32"/>
          <w:szCs w:val="32"/>
        </w:rPr>
        <w:t>万元，其中因公出国（境）费</w:t>
      </w:r>
      <w:r>
        <w:rPr>
          <w:rFonts w:hint="eastAsia" w:ascii="方正仿宋_GBK" w:hAnsi="Times New Roman" w:eastAsia="方正仿宋_GBK" w:cs="Times New Roman"/>
          <w:sz w:val="32"/>
          <w:szCs w:val="32"/>
          <w:lang w:val="en-US" w:eastAsia="zh-CN"/>
        </w:rPr>
        <w:t>0</w:t>
      </w:r>
      <w:r>
        <w:rPr>
          <w:rFonts w:hint="eastAsia" w:ascii="方正仿宋_GBK" w:hAnsi="Times New Roman" w:eastAsia="方正仿宋_GBK" w:cs="Times New Roman"/>
          <w:sz w:val="32"/>
          <w:szCs w:val="32"/>
        </w:rPr>
        <w:t>万元；公务用车购置及运维费</w:t>
      </w:r>
      <w:r>
        <w:rPr>
          <w:rFonts w:hint="eastAsia" w:ascii="方正仿宋_GBK" w:hAnsi="Times New Roman" w:eastAsia="方正仿宋_GBK" w:cs="Times New Roman"/>
          <w:sz w:val="32"/>
          <w:szCs w:val="32"/>
          <w:lang w:val="en-US" w:eastAsia="zh-CN"/>
        </w:rPr>
        <w:t>5.6</w:t>
      </w:r>
      <w:r>
        <w:rPr>
          <w:rFonts w:hint="eastAsia" w:ascii="方正仿宋_GBK" w:hAnsi="Times New Roman" w:eastAsia="方正仿宋_GBK" w:cs="Times New Roman"/>
          <w:sz w:val="32"/>
          <w:szCs w:val="32"/>
        </w:rPr>
        <w:t>万元（其中：公务用车购置费为0万元，公务用车运维费</w:t>
      </w:r>
      <w:r>
        <w:rPr>
          <w:rFonts w:hint="eastAsia" w:ascii="方正仿宋_GBK" w:hAnsi="Times New Roman" w:eastAsia="方正仿宋_GBK" w:cs="Times New Roman"/>
          <w:sz w:val="32"/>
          <w:szCs w:val="32"/>
          <w:lang w:val="en-US" w:eastAsia="zh-CN"/>
        </w:rPr>
        <w:t>5.6</w:t>
      </w:r>
      <w:r>
        <w:rPr>
          <w:rFonts w:hint="eastAsia" w:ascii="方正仿宋_GBK" w:hAnsi="Times New Roman" w:eastAsia="方正仿宋_GBK" w:cs="Times New Roman"/>
          <w:sz w:val="32"/>
          <w:szCs w:val="32"/>
        </w:rPr>
        <w:t>万元)；公务接待费</w:t>
      </w:r>
      <w:r>
        <w:rPr>
          <w:rFonts w:hint="eastAsia" w:ascii="方正仿宋_GBK" w:hAnsi="Times New Roman" w:eastAsia="方正仿宋_GBK" w:cs="Times New Roman"/>
          <w:sz w:val="32"/>
          <w:szCs w:val="32"/>
          <w:lang w:val="en-US" w:eastAsia="zh-CN"/>
        </w:rPr>
        <w:t>3.16</w:t>
      </w:r>
      <w:r>
        <w:rPr>
          <w:rFonts w:hint="eastAsia" w:ascii="方正仿宋_GBK" w:hAnsi="Times New Roman" w:eastAsia="方正仿宋_GBK" w:cs="Times New Roman"/>
          <w:sz w:val="32"/>
          <w:szCs w:val="32"/>
        </w:rPr>
        <w:t>万元。与2019年相比减少</w:t>
      </w:r>
      <w:r>
        <w:rPr>
          <w:rFonts w:hint="eastAsia" w:ascii="方正仿宋_GBK" w:hAnsi="Times New Roman" w:eastAsia="方正仿宋_GBK" w:cs="Times New Roman"/>
          <w:sz w:val="32"/>
          <w:szCs w:val="32"/>
          <w:lang w:val="en-US" w:eastAsia="zh-CN"/>
        </w:rPr>
        <w:t>4.9</w:t>
      </w:r>
      <w:r>
        <w:rPr>
          <w:rFonts w:hint="eastAsia" w:ascii="方正仿宋_GBK" w:hAnsi="Times New Roman" w:eastAsia="方正仿宋_GBK" w:cs="Times New Roman"/>
          <w:sz w:val="32"/>
          <w:szCs w:val="32"/>
        </w:rPr>
        <w:t>万元，</w:t>
      </w:r>
      <w:r>
        <w:rPr>
          <w:rFonts w:hint="eastAsia" w:ascii="方正仿宋_GBK" w:hAnsi="Times New Roman" w:eastAsia="方正仿宋_GBK" w:cs="Times New Roman"/>
          <w:sz w:val="32"/>
          <w:szCs w:val="32"/>
          <w:lang w:eastAsia="zh-CN"/>
        </w:rPr>
        <w:t>其中</w:t>
      </w:r>
      <w:r>
        <w:rPr>
          <w:rFonts w:hint="eastAsia" w:ascii="方正仿宋_GBK" w:hAnsi="Times New Roman" w:eastAsia="方正仿宋_GBK" w:cs="Times New Roman"/>
          <w:sz w:val="32"/>
          <w:szCs w:val="32"/>
        </w:rPr>
        <w:t>：因公出国经费预算压减1万元</w:t>
      </w:r>
      <w:r>
        <w:rPr>
          <w:rFonts w:hint="eastAsia" w:ascii="方正仿宋_GBK" w:hAnsi="Times New Roman" w:eastAsia="方正仿宋_GBK" w:cs="Times New Roman"/>
          <w:sz w:val="32"/>
          <w:szCs w:val="32"/>
          <w:lang w:eastAsia="zh-CN"/>
        </w:rPr>
        <w:t>，原因是落实财政关于压减三公经费政策；公务用车运行维护费压减</w:t>
      </w:r>
      <w:r>
        <w:rPr>
          <w:rFonts w:hint="eastAsia" w:ascii="方正仿宋_GBK" w:hAnsi="Times New Roman" w:eastAsia="方正仿宋_GBK" w:cs="Times New Roman"/>
          <w:sz w:val="32"/>
          <w:szCs w:val="32"/>
          <w:lang w:val="en-US" w:eastAsia="zh-CN"/>
        </w:rPr>
        <w:t>4万元，原因是</w:t>
      </w:r>
      <w:r>
        <w:rPr>
          <w:rFonts w:hint="eastAsia" w:ascii="方正仿宋_GBK" w:hAnsi="Times New Roman" w:eastAsia="方正仿宋_GBK" w:cs="Times New Roman"/>
          <w:sz w:val="32"/>
          <w:szCs w:val="32"/>
          <w:lang w:eastAsia="zh-CN"/>
        </w:rPr>
        <w:t>落实财政关于压减三公经费政策；</w:t>
      </w:r>
      <w:r>
        <w:rPr>
          <w:rFonts w:hint="eastAsia" w:ascii="方正仿宋_GBK" w:hAnsi="Times New Roman" w:eastAsia="方正仿宋_GBK" w:cs="Times New Roman"/>
          <w:sz w:val="32"/>
          <w:szCs w:val="32"/>
          <w:lang w:val="en-US" w:eastAsia="zh-CN"/>
        </w:rPr>
        <w:t>公务接待费增加0.1万元，原因是人员增加，公用经费增加。</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五、预算绩效信息 </w:t>
      </w:r>
    </w:p>
    <w:p>
      <w:pPr>
        <w:ind w:firstLine="643" w:firstLineChars="200"/>
        <w:jc w:val="left"/>
        <w:rPr>
          <w:rFonts w:ascii="仿宋_GB2312" w:hAnsi="Times New Roman" w:eastAsia="仿宋_GB2312" w:cs="Times New Roman"/>
          <w:b/>
          <w:sz w:val="32"/>
          <w:szCs w:val="32"/>
        </w:rPr>
      </w:pPr>
      <w:bookmarkStart w:id="0" w:name="_Toc471398463"/>
      <w:r>
        <w:rPr>
          <w:rFonts w:hint="eastAsia" w:ascii="仿宋_GB2312" w:hAnsi="Times New Roman" w:eastAsia="仿宋_GB2312" w:cs="Times New Roman"/>
          <w:b/>
          <w:sz w:val="32"/>
          <w:szCs w:val="32"/>
        </w:rPr>
        <w:t>第一部分 部门整体绩效目标</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一、总体绩效目标</w:t>
      </w:r>
    </w:p>
    <w:p>
      <w:pPr>
        <w:rPr>
          <w:rFonts w:hint="eastAsia" w:ascii="方正仿宋_GBK" w:hAnsi="仿宋_GB2312" w:eastAsia="方正仿宋_GBK" w:cs="仿宋_GB2312"/>
          <w:sz w:val="32"/>
          <w:szCs w:val="32"/>
        </w:rPr>
      </w:pPr>
      <w:r>
        <w:rPr>
          <w:rFonts w:hint="eastAsia"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lang w:val="en-US" w:eastAsia="zh-CN"/>
        </w:rPr>
        <w:t xml:space="preserve"> </w:t>
      </w:r>
      <w:r>
        <w:rPr>
          <w:rFonts w:hint="eastAsia" w:ascii="方正仿宋_GBK" w:hAnsi="仿宋_GB2312" w:eastAsia="方正仿宋_GBK" w:cs="仿宋_GB2312"/>
          <w:sz w:val="32"/>
          <w:szCs w:val="32"/>
        </w:rPr>
        <w:t>坚持以习近平新时代中国特色社会主义思想为指导,全面贯彻落实党的十九大、十九届四中全会精神和全面依法治国新理念新思想新战略，深入开展创建“四型机关”、争做“四型干警”活动，以全面依法治市为统领，深化法制宣传教育和法制承德建设，加快推行法制乡村建设和法制文化阵地建设，积极开展公益普法新模式，建设完善全媒体普法体系，同时着力构建完备的公共法律服务体系，加强基层基础建设，深入推进科学立法、严格执法、公正司法、全民守法，高质量推进司法行政各项工作落地落实，为魅力承德、法治承德建设提供优质高效的制度供给、法治保障和法律服务。</w:t>
      </w:r>
    </w:p>
    <w:p>
      <w:pPr>
        <w:numPr>
          <w:ilvl w:val="0"/>
          <w:numId w:val="1"/>
        </w:num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分项绩效目标</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（一）提升法制政府建设水平</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绩效目标:贯彻中央、省法治政府建设部署要求，以优化法治化营商</w:t>
      </w:r>
      <w:r>
        <w:rPr>
          <w:rFonts w:hint="eastAsia" w:ascii="方正仿宋_GBK" w:hAnsi="仿宋_GB2312" w:eastAsia="方正仿宋_GBK" w:cs="仿宋_GB2312"/>
          <w:sz w:val="32"/>
          <w:szCs w:val="32"/>
          <w:lang w:eastAsia="zh-CN"/>
        </w:rPr>
        <w:t>环</w:t>
      </w:r>
      <w:r>
        <w:rPr>
          <w:rFonts w:hint="eastAsia" w:ascii="方正仿宋_GBK" w:hAnsi="仿宋_GB2312" w:eastAsia="方正仿宋_GBK" w:cs="仿宋_GB2312"/>
          <w:sz w:val="32"/>
          <w:szCs w:val="32"/>
        </w:rPr>
        <w:t>境为重点，紧密结合服务和保障承德</w:t>
      </w:r>
      <w:bookmarkStart w:id="20" w:name="_GoBack"/>
      <w:bookmarkEnd w:id="20"/>
      <w:r>
        <w:rPr>
          <w:rFonts w:hint="eastAsia" w:ascii="方正仿宋_GBK" w:hAnsi="仿宋_GB2312" w:eastAsia="方正仿宋_GBK" w:cs="仿宋_GB2312"/>
          <w:sz w:val="32"/>
          <w:szCs w:val="32"/>
        </w:rPr>
        <w:t>高质量发展，做好全面依法治市重点工作的协调、督导、检查、推动工作。加快推进基层法治政府建设落实，培树一批法治政府建设先进典型。提高立法、合法性审核工作质量效率。落实“七五”普法规划，加强法治文化阵地建设。全面推行行政执法“三项制度”，促进行政执法严格规范公正文明。畅通行政复议渠道，规范诉讼办案程序，提高办案质量。</w:t>
      </w:r>
    </w:p>
    <w:p>
      <w:pPr>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绩效指标:领导干部法律及格率达到100%，加强对执法行政人员资格审查，年检考试合格率达到90%以上，行政复议案件审结率达到80%以上。</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(二)提升社会综合治理水平</w:t>
      </w:r>
    </w:p>
    <w:p>
      <w:pPr>
        <w:ind w:firstLine="640" w:firstLineChars="200"/>
        <w:rPr>
          <w:rFonts w:ascii="Times New Roman" w:eastAsia="方正仿宋_GBK"/>
          <w:sz w:val="32"/>
          <w:szCs w:val="32"/>
        </w:rPr>
      </w:pPr>
      <w:r>
        <w:rPr>
          <w:rFonts w:hint="eastAsia" w:ascii="方正仿宋_GBK" w:hAnsi="仿宋_GB2312" w:eastAsia="方正仿宋_GBK" w:cs="仿宋_GB2312"/>
          <w:sz w:val="32"/>
          <w:szCs w:val="32"/>
        </w:rPr>
        <w:t>绩效目标:贯彻落实《中华人民共和国社区矫正法》，强化重点社区服刑人员管控。健全完善安置帮教工作机制。坚持好、发展好“枫桥经验”，完善运用调解、仲裁、诉讼</w:t>
      </w:r>
      <w:r>
        <w:rPr>
          <w:rFonts w:ascii="Times New Roman" w:eastAsia="方正仿宋_GBK"/>
          <w:sz w:val="32"/>
          <w:szCs w:val="32"/>
        </w:rPr>
        <w:t>、信访等有机衔接、相互协调的多元化纠纷解决机制，维护人民群众合法权益。</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绩效指标:社区矫正对象入网学习人数1300以上，社区矫正入矫率达到100%，社区矫正重新犯罪率小于1%，医疗纠纷调解率达到80%以上，群众满意度90%以上。     </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(三）提升公共法律服务水平</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绩效目标:落实“不忘初心、牢记使命”主题教育律师行业党建规范化调研成果，务求取得实效。加强律师队伍建设，培养一批在全国范围内有较大影响的品牌律师事务所和律师领军人才。不断提升公证服务质量，降低法律援助标准，加强司法鉴定监管力度，落实仲裁工作规范化管理要求，满足人民群众日益增长的法律服务需求。</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绩效指标:案件质量检查率达到85%以上，群众信访满意度达到80%以上，法律援助案件办结率达到70%以上。</w:t>
      </w:r>
    </w:p>
    <w:p>
      <w:pPr>
        <w:numPr>
          <w:ilvl w:val="0"/>
          <w:numId w:val="1"/>
        </w:numPr>
        <w:ind w:left="0" w:leftChars="0"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工作保障措施</w:t>
      </w:r>
    </w:p>
    <w:p>
      <w:pPr>
        <w:ind w:firstLine="640" w:firstLineChars="200"/>
        <w:jc w:val="lef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一)加强组织领导。将事前评估、目标管理、运行监控、绩效评价、结果应用等各项改革措施,有效融入预算管理的全过程环节,建立健全司法领域预算绩效管理的路径和制度体系。成立由局主要领导同志任组长的预算绩效工作领导小组,分设多个业务小组,建立统筹协调、分工协作、密切配合、合力推进的工作机制。围绕年度总体绩效目标和分类绩效目标,细化工作方案,明确责任主体、实施进度要求,确保如期完成。</w:t>
      </w:r>
    </w:p>
    <w:p>
      <w:pPr>
        <w:ind w:firstLine="640" w:firstLineChars="200"/>
        <w:jc w:val="lef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二)狠抓任务落实。按照“谁花钱、谁负责,谁牵总、谁主责”的原则,明确业务单位(科室)预算绩效管理职责。充分调动各项目主管单位(科室)的积极性和主动性,由业务单位(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ind w:firstLine="640" w:firstLineChars="200"/>
        <w:jc w:val="lef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三)强化预算执行。强化财政预算执行的刚性约束,及时启动项目和支付资金,加快履行政府采购程序,优化部门预算支出结构,创新财政资金支岀思路,合理改进支岀方式,确保按照时间节点完成支出任务。进一步加快转移支付资金下达进度,督促有关单位加快执行进度。规范财政资金使用和管理,强化内部控制制度建设,更好地发挥财政资金的使用效益。</w:t>
      </w:r>
    </w:p>
    <w:p>
      <w:pPr>
        <w:ind w:firstLine="640" w:firstLineChars="200"/>
        <w:jc w:val="lef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四)健会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ind w:firstLine="640" w:firstLineChars="200"/>
        <w:jc w:val="lef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五)强化宣传引导。组织开展多轮次、多角度的业务培训，使全局干部职工牢固树立绩效理念,熟悉管理流程,掌握工作方法,提升管理能力。各单位(科室)要探索工作经验,及时总结司法系统预算绩效管理成效,营造良好的舆论氛围。积极采取购买服务等方式,利用专业机构、高等院校力量开展工作,提升预算绩效管理科学水平。</w:t>
      </w:r>
    </w:p>
    <w:p>
      <w:pPr>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第二部分  专项资金绩效目标：</w:t>
      </w:r>
    </w:p>
    <w:p>
      <w:pPr>
        <w:ind w:firstLine="560" w:firstLineChars="200"/>
        <w:jc w:val="left"/>
        <w:outlineLvl w:val="1"/>
        <w:rPr>
          <w:rFonts w:ascii="Times New Roman" w:hAnsi="宋体"/>
          <w:b/>
          <w:sz w:val="28"/>
        </w:rPr>
      </w:pPr>
      <w:r>
        <w:rPr>
          <w:rFonts w:hint="eastAsia" w:ascii="方正仿宋_GBK" w:eastAsia="方正仿宋_GBK"/>
          <w:b/>
          <w:sz w:val="28"/>
        </w:rPr>
        <w:t>1、12348法律服务热线、法院、看守所法律援助工作站律师值班补贴经费绩效目标表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1796889"/>
      <w:r>
        <w:rPr>
          <w:rFonts w:hint="eastAsia" w:ascii="方正仿宋_GBK" w:eastAsia="方正仿宋_GBK"/>
          <w:b/>
          <w:sz w:val="28"/>
        </w:rPr>
        <w:instrText xml:space="preserve">1、12348法律服务热线、法院、看守所法律援助工作站律师值班补贴经费绩效目标表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000-9999-JSN-4J0H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12348</w:t>
            </w:r>
            <w:r>
              <w:rPr>
                <w:rFonts w:hint="eastAsia" w:ascii="方正书宋_GBK" w:eastAsia="方正书宋_GBK"/>
              </w:rPr>
              <w:t>法律服务热线、法院、看守所法律援助工作站律师值班补贴经费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按照</w:t>
            </w:r>
            <w:r>
              <w:rPr>
                <w:rFonts w:hint="eastAsia" w:ascii="方正书宋_GBK" w:eastAsia="方正书宋_GBK"/>
              </w:rPr>
              <w:t>中共承德市委办公室、承德市人民政府办公室关于进一步加强法律援助工作的实施意见中要求</w:t>
            </w:r>
            <w:r>
              <w:rPr>
                <w:rFonts w:hint="eastAsia" w:ascii="方正书宋_GBK" w:eastAsia="方正书宋_GBK"/>
                <w:lang w:eastAsia="zh-CN"/>
              </w:rPr>
              <w:t>，在</w:t>
            </w:r>
            <w:r>
              <w:rPr>
                <w:rFonts w:hint="eastAsia" w:ascii="方正书宋_GBK" w:eastAsia="方正书宋_GBK"/>
              </w:rPr>
              <w:t>法院、看守所设立法律援助站点</w:t>
            </w:r>
            <w:r>
              <w:rPr>
                <w:rFonts w:hint="eastAsia" w:ascii="方正书宋_GBK" w:eastAsia="方正书宋_GBK"/>
                <w:lang w:eastAsia="zh-CN"/>
              </w:rPr>
              <w:t>及市</w:t>
            </w:r>
            <w:r>
              <w:rPr>
                <w:rFonts w:ascii="方正书宋_GBK" w:eastAsia="方正书宋_GBK"/>
              </w:rPr>
              <w:t>12348</w:t>
            </w:r>
            <w:r>
              <w:rPr>
                <w:rFonts w:hint="eastAsia" w:ascii="方正书宋_GBK" w:eastAsia="方正书宋_GBK"/>
              </w:rPr>
              <w:t>智能信息语音平台</w:t>
            </w:r>
            <w:r>
              <w:rPr>
                <w:rFonts w:hint="eastAsia" w:ascii="方正书宋_GBK" w:eastAsia="方正书宋_GBK"/>
                <w:lang w:eastAsia="zh-CN"/>
              </w:rPr>
              <w:t>值班律师的值班补贴经费。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、建立完善的法律援助体系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、扩大法律援助覆盖面</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法律援助案件受理率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已提供的法律援助案件占申请的法律援助案件比例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0.7</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印刷发放法律援助宣传册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印刷发放法律援助宣传册</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份</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法律援助案件受理数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法律援助案件受理数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提供法律咨询质量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提供法律咨询情况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法律援助案件办结率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已办结的法律援助案件占受理的法律援助案件比例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0.7</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受援群众投诉率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受援群众对法律援助工作的投诉率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2、法律顾问经费绩效目标表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1796890"/>
      <w:r>
        <w:rPr>
          <w:rFonts w:hint="eastAsia" w:ascii="方正仿宋_GBK" w:eastAsia="方正仿宋_GBK"/>
          <w:b/>
          <w:sz w:val="28"/>
        </w:rPr>
        <w:instrText xml:space="preserve">2、法律顾问经费绩效目标表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000-9999-JSN-0L44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法律顾问经费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就政府的重大决策提供法律方面的意见，对决策进行法律论证；对政府起草或者拟发布的规范性文件，从法律方面提出修改和补充建议；代理政府参加诉讼；协助政府进行法制宣传及普法教育；办理政府委托办理的其他法律事务。三种情况：一是外聘社会律师以</w:t>
            </w:r>
            <w:r>
              <w:rPr>
                <w:rFonts w:hint="cs" w:ascii="方正书宋_GBK" w:eastAsia="方正书宋_GBK"/>
              </w:rPr>
              <w:t>“</w:t>
            </w:r>
            <w:r>
              <w:rPr>
                <w:rFonts w:hint="eastAsia" w:ascii="方正书宋_GBK" w:eastAsia="方正书宋_GBK"/>
              </w:rPr>
              <w:t>底薪</w:t>
            </w:r>
            <w:r>
              <w:rPr>
                <w:rFonts w:ascii="方正书宋_GBK" w:eastAsia="方正书宋_GBK"/>
              </w:rPr>
              <w:t>+</w:t>
            </w:r>
            <w:r>
              <w:rPr>
                <w:rFonts w:hint="eastAsia" w:ascii="方正书宋_GBK" w:eastAsia="方正书宋_GBK"/>
              </w:rPr>
              <w:t>以案定补</w:t>
            </w:r>
            <w:r>
              <w:rPr>
                <w:rFonts w:hint="cs" w:ascii="方正书宋_GBK" w:eastAsia="方正书宋_GBK"/>
              </w:rPr>
              <w:t>”</w:t>
            </w:r>
            <w:r>
              <w:rPr>
                <w:rFonts w:hint="eastAsia" w:ascii="方正书宋_GBK" w:eastAsia="方正书宋_GBK"/>
              </w:rPr>
              <w:t>的方式计酬。二是外聘法学专家中的专兼职业律师，执行</w:t>
            </w:r>
            <w:r>
              <w:rPr>
                <w:rFonts w:hint="cs" w:ascii="方正书宋_GBK" w:eastAsia="方正书宋_GBK"/>
              </w:rPr>
              <w:t>“</w:t>
            </w:r>
            <w:r>
              <w:rPr>
                <w:rFonts w:hint="eastAsia" w:ascii="方正书宋_GBK" w:eastAsia="方正书宋_GBK"/>
              </w:rPr>
              <w:t>以案定补</w:t>
            </w:r>
            <w:r>
              <w:rPr>
                <w:rFonts w:hint="cs" w:ascii="方正书宋_GBK" w:eastAsia="方正书宋_GBK"/>
              </w:rPr>
              <w:t>”</w:t>
            </w:r>
            <w:r>
              <w:rPr>
                <w:rFonts w:hint="eastAsia" w:ascii="方正书宋_GBK" w:eastAsia="方正书宋_GBK"/>
              </w:rPr>
              <w:t>的规定。三是其他外聘法学专家、公职律师不计薪酬，在执行法律顾问职责时，依现行有关政策给予差旅费等适当补助。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、加强法制政府建设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、促进依法行政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外聘社会律师数量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外聘社会律师数量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名</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案件办理时限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案件完成时限</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办理案件数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办理案件数量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案件办结率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办结案件占立案总数的</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0.6</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挽回经济损失</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挽回经济损失金额</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3、法律援助服务经费绩效目标表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1796891"/>
      <w:r>
        <w:rPr>
          <w:rFonts w:hint="eastAsia" w:ascii="方正仿宋_GBK" w:eastAsia="方正仿宋_GBK"/>
          <w:b/>
          <w:sz w:val="28"/>
        </w:rPr>
        <w:instrText xml:space="preserve">3、法律援助服务经费绩效目标表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000-9999-JSN-RNTL</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办理法律援助需向社会律师购买服务，主要用于办理法律援助案件的办案补贴及支出的直接办案成本。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、建立完善法律服务体系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、扩大法律援助覆盖面</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法律援助案件办结率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已办结的法律援助案件占受理法律援助案件比例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0.7</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法律援助案件受理率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已提供法律援助案件占申请总数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0.7</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提供法律咨询数量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为社会提供法律咨询数量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印制法律援助宣传资料</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印制发放法律援助宣传资料</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份</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法律援助案件办结率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已办结的法律援助案件占受理法律援助案件比例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0.7</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受援群众投诉率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受援群众投诉案件占受理案件比例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0.1</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4、法律援助中心工作经费绩效目标表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1796892"/>
      <w:r>
        <w:rPr>
          <w:rFonts w:hint="eastAsia" w:ascii="方正仿宋_GBK" w:eastAsia="方正仿宋_GBK"/>
          <w:b/>
          <w:sz w:val="28"/>
        </w:rPr>
        <w:instrText xml:space="preserve">4、法律援助中心工作经费绩效目标表</w:instrText>
      </w:r>
      <w:bookmarkEnd w:id="4"/>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000-9999-JSN-0X60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法律援助中心工作经费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按照《河北省法律援助条例》以及《河北省财政厅</w:t>
            </w:r>
            <w:r>
              <w:rPr>
                <w:rFonts w:ascii="方正书宋_GBK" w:eastAsia="方正书宋_GBK"/>
              </w:rPr>
              <w:t xml:space="preserve"> </w:t>
            </w:r>
            <w:r>
              <w:rPr>
                <w:rFonts w:hint="eastAsia" w:ascii="方正书宋_GBK" w:eastAsia="方正书宋_GBK"/>
              </w:rPr>
              <w:t>河北省司法厅法律援助经费使用办法》的规定，法律援助工作经费主要用于法律援助机构办案直接费用的支出</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、建立完善的法律援助法律法规体系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、扩大法律援助覆盖面</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法律援助案件办结率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已办结的法律援助案件占受理法律援助案件的比率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0.7</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制作与发放外宣品的数量（份）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印发法律援助宣传资料数量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册</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法律援助案件受理数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受理法律援助案件数量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提供法律咨询数量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为社会提供法律咨询服务数量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法律援助案件结案率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法律援助案件结案率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0.7</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投诉率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受援群众对法律援助工作的投诉率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0.1</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工作实际</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5、国家统一法律职业资格考试绩效目标表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1796893"/>
      <w:r>
        <w:rPr>
          <w:rFonts w:hint="eastAsia" w:ascii="方正仿宋_GBK" w:eastAsia="方正仿宋_GBK"/>
          <w:b/>
          <w:sz w:val="28"/>
        </w:rPr>
        <w:instrText xml:space="preserve">5、国家统一法律职业资格考试绩效目标表</w:instrText>
      </w:r>
      <w:bookmarkEnd w:id="5"/>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000-9999-JSN-R8PZ</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国家统一法律职业资格考试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主要用于国家统一法律职业资格考试的考试费、劳务费、考试场地租赁费、法律职业资格考试管理费等费用支出</w:t>
            </w:r>
            <w:r>
              <w:rPr>
                <w:rFonts w:hint="eastAsia" w:ascii="方正书宋_GBK" w:eastAsia="方正书宋_GBK"/>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、落实国家司法考试政策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、提高司法考试管理水平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考生投诉处理率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已处理答复解决投诉数量占投诉总数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考试重大事故发生率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考试重大事故发生率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考试违纪查处率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已查处违纪占全部违纪</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法律职业资格档案管理错误率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法律职业资格错误档案占全部档案</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职业资格证书办理率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职业资格证书办理率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0.93</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考生满意度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0.93</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6、戒毒所补充公务运转经费绩效目标表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1796894"/>
      <w:r>
        <w:rPr>
          <w:rFonts w:hint="eastAsia" w:ascii="方正仿宋_GBK" w:eastAsia="方正仿宋_GBK"/>
          <w:b/>
          <w:sz w:val="28"/>
        </w:rPr>
        <w:instrText xml:space="preserve">6、戒毒所补充公务运转经费绩效目标表</w:instrText>
      </w:r>
      <w:bookmarkEnd w:id="6"/>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000-9999-JSN-6DLP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戒毒所补充公务运转经费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用于补充戒毒所公务运转经费不足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、年内完成戒毒收治工作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、年内完成戒毒收治</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制作与发放外宣品的数量（份）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反映满足全省涉外活动对外宣品的需求情况</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疾病应急救助制度覆盖率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实施疾病应急救助制度的县（市、区）个数占我省县（市、区）总数的比例</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达到绿色产业标准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外宣品发放使用量占生产量的比例（</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反映外宣品的使用程度</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7、戒毒所强制隔离戒毒人员经费绩效目标表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1796895"/>
      <w:r>
        <w:rPr>
          <w:rFonts w:hint="eastAsia" w:ascii="方正仿宋_GBK" w:eastAsia="方正仿宋_GBK"/>
          <w:b/>
          <w:sz w:val="28"/>
        </w:rPr>
        <w:instrText xml:space="preserve">7、戒毒所强制隔离戒毒人员经费绩效目标表</w:instrText>
      </w:r>
      <w:bookmarkEnd w:id="7"/>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000-9999-JSN-8N04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戒毒所强制隔离戒毒人员经费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57.61</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57.61</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戒毒人员经费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、加强收治戒毒人员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、加强手指戒毒人员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达到绿色产业标准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8、律师信访值班补贴经费绩效目标表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1796896"/>
      <w:r>
        <w:rPr>
          <w:rFonts w:hint="eastAsia" w:ascii="方正仿宋_GBK" w:eastAsia="方正仿宋_GBK"/>
          <w:b/>
          <w:sz w:val="28"/>
        </w:rPr>
        <w:instrText xml:space="preserve">8、律师信访值班补贴经费绩效目标表</w:instrText>
      </w:r>
      <w:bookmarkEnd w:id="8"/>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000-9999-JSN-2244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律师信访值班补贴经费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7.40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7.40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我局和市律师协会指派律师到信访值班</w:t>
            </w:r>
            <w:r>
              <w:rPr>
                <w:rFonts w:ascii="方正书宋_GBK" w:eastAsia="方正书宋_GBK"/>
              </w:rPr>
              <w:t>,</w:t>
            </w:r>
            <w:r>
              <w:rPr>
                <w:rFonts w:hint="eastAsia" w:ascii="方正书宋_GBK" w:eastAsia="方正书宋_GBK"/>
              </w:rPr>
              <w:t>先进经验曾在省司法厅工作会交流，省信访及各地律师均有值班，都有值班补贴</w:t>
            </w:r>
            <w:r>
              <w:rPr>
                <w:rFonts w:ascii="方正书宋_GBK" w:eastAsia="方正书宋_GBK"/>
              </w:rPr>
              <w:t>,</w:t>
            </w:r>
            <w:r>
              <w:rPr>
                <w:rFonts w:hint="eastAsia" w:ascii="方正书宋_GBK" w:eastAsia="方正书宋_GBK"/>
              </w:rPr>
              <w:t>每个值班律师每天补贴</w:t>
            </w:r>
            <w:r>
              <w:rPr>
                <w:rFonts w:ascii="方正书宋_GBK" w:eastAsia="方正书宋_GBK"/>
              </w:rPr>
              <w:t>200</w:t>
            </w:r>
            <w:r>
              <w:rPr>
                <w:rFonts w:hint="eastAsia" w:ascii="方正书宋_GBK" w:eastAsia="方正书宋_GBK"/>
              </w:rPr>
              <w:t>元</w:t>
            </w:r>
            <w:r>
              <w:rPr>
                <w:rFonts w:ascii="方正书宋_GBK" w:eastAsia="方正书宋_GBK"/>
              </w:rPr>
              <w:t>,</w:t>
            </w:r>
            <w:r>
              <w:rPr>
                <w:rFonts w:hint="eastAsia" w:ascii="方正书宋_GBK" w:eastAsia="方正书宋_GBK"/>
              </w:rPr>
              <w:t>所需值班补贴</w:t>
            </w:r>
            <w:r>
              <w:rPr>
                <w:rFonts w:ascii="方正书宋_GBK" w:eastAsia="方正书宋_GBK"/>
              </w:rPr>
              <w:t>7.4</w:t>
            </w:r>
            <w:r>
              <w:rPr>
                <w:rFonts w:hint="eastAsia" w:ascii="方正书宋_GBK" w:eastAsia="方正书宋_GBK"/>
              </w:rPr>
              <w:t>万元</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、充分发挥法律服务职能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、规范律师公证行业管理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行政许可初审率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行政许可初审情况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机构年检率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机构年检情况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提供法律咨询数量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提供法律咨询数量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案件质量检查率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案件质量检查情况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律师满意率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律师满意情况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群众信访满意率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群众信访满意情况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9、普法宣传经费绩效目标表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1796897"/>
      <w:r>
        <w:rPr>
          <w:rFonts w:hint="eastAsia" w:ascii="方正仿宋_GBK" w:eastAsia="方正仿宋_GBK"/>
          <w:b/>
          <w:sz w:val="28"/>
        </w:rPr>
        <w:instrText xml:space="preserve">9、普法宣传经费绩效目标表</w:instrText>
      </w:r>
      <w:bookmarkEnd w:id="9"/>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000-9999-JSN-42R4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普法宣传经费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拟定全市法制宣传教育规划并组织实施；指导全市法制宣传、依法治理工作；组织、指导法制宣传报道；组织全市司法行政系统教育宣传和新闻发布；承担全市法制教育领导小组办公室工作。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、提高全市人民法律意识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、增强法制化管理水平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人均培训费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人均每天培训费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组织普法活动场次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组织普法活动场次</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领导干部法律考试及格率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考核通过人数占参考人员比例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培训全市普法干部完成时间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普法覆盖面</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普法覆盖率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宣传活动对象满意度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通过抽样调查方式，对参加宣传活动的对象进行调查，达到满意程度的比例。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10、人民民调、调解员培训、安置帮教经费绩效目标表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1796898"/>
      <w:r>
        <w:rPr>
          <w:rFonts w:hint="eastAsia" w:ascii="方正仿宋_GBK" w:eastAsia="方正仿宋_GBK"/>
          <w:b/>
          <w:sz w:val="28"/>
        </w:rPr>
        <w:instrText xml:space="preserve">10、人民民调、调解员培训、安置帮教经费绩效目标表</w:instrText>
      </w:r>
      <w:bookmarkEnd w:id="10"/>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000-9999-JSN-RL4R</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人民民调、调解员培训、安置帮教经费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按中央、省、市综治委文件要求要保障人民调解、安置帮教工作经费，主要用于人民调解工作经费，人民调解委员会补贴经费、专职人民调解员工作经费。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、深化人民调解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、维护社会稳定</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人均财政投入情况</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350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人民调解员培训</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人民调解员培训</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全市司法所所长培训完成率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全市司法所所长培训完成情况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人民调解员业务能力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人民调解员业务能力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受训人员满意度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受训人员满意度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11、社区矫正业务经费绩效目标表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1796899"/>
      <w:r>
        <w:rPr>
          <w:rFonts w:hint="eastAsia" w:ascii="方正仿宋_GBK" w:eastAsia="方正仿宋_GBK"/>
          <w:b/>
          <w:sz w:val="28"/>
        </w:rPr>
        <w:instrText xml:space="preserve">11、社区矫正业务经费绩效目标表</w:instrText>
      </w:r>
      <w:bookmarkEnd w:id="1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000-9999-JSN-H24Z</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进一步加大对特殊人群的教育培训力度，不断深化社区矫正和安置帮扶</w:t>
            </w:r>
            <w:r>
              <w:rPr>
                <w:rFonts w:ascii="方正书宋_GBK" w:eastAsia="方正书宋_GBK"/>
              </w:rPr>
              <w:t xml:space="preserve"> </w:t>
            </w:r>
            <w:r>
              <w:rPr>
                <w:rFonts w:hint="eastAsia" w:ascii="方正书宋_GBK" w:eastAsia="方正书宋_GBK"/>
              </w:rPr>
              <w:t>工作，最大限度降低社区服刑人员再犯罪率和安置帮扶人员重新犯罪率。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、管理社区矫正工作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、最大限度降低重新违法犯罪发生率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培训社区矫正对象人数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培训社区矫正人数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社区矫正对象入网学习人数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社区矫正对象入网学习人数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人均培训费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人均培训费用</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社区矫正对象入矫率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入矫人数占应入矫人数比例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社区矫正对象重新犯罪率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社区矫正对象重新犯罪比例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0.01</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12、特殊人群培训教育经费绩效目标表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1796900"/>
      <w:r>
        <w:rPr>
          <w:rFonts w:hint="eastAsia" w:ascii="方正仿宋_GBK" w:eastAsia="方正仿宋_GBK"/>
          <w:b/>
          <w:sz w:val="28"/>
        </w:rPr>
        <w:instrText xml:space="preserve">12、特殊人群培训教育经费绩效目标表</w:instrText>
      </w:r>
      <w:bookmarkEnd w:id="1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000-9999-JSN-86F6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特殊人群培训教育经费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在全市范围内为每名社区服刑人员建立一个帮教小组，每月开展集体教育、劳动教育各一次</w:t>
            </w:r>
            <w:r>
              <w:rPr>
                <w:rFonts w:ascii="方正书宋_GBK" w:eastAsia="方正书宋_GBK"/>
              </w:rPr>
              <w:t>.</w:t>
            </w:r>
            <w:r>
              <w:rPr>
                <w:rFonts w:hint="eastAsia" w:ascii="方正书宋_GBK" w:eastAsia="方正书宋_GBK"/>
              </w:rPr>
              <w:t>近</w:t>
            </w:r>
            <w:r>
              <w:rPr>
                <w:rFonts w:ascii="方正书宋_GBK" w:eastAsia="方正书宋_GBK"/>
              </w:rPr>
              <w:t>1180</w:t>
            </w:r>
            <w:r>
              <w:rPr>
                <w:rFonts w:hint="eastAsia" w:ascii="方正书宋_GBK" w:eastAsia="方正书宋_GBK"/>
              </w:rPr>
              <w:t>名社区服刑人员培训费</w:t>
            </w:r>
            <w:r>
              <w:rPr>
                <w:rFonts w:ascii="方正书宋_GBK" w:eastAsia="方正书宋_GBK"/>
              </w:rPr>
              <w:t>30</w:t>
            </w:r>
            <w:r>
              <w:rPr>
                <w:rFonts w:hint="eastAsia" w:ascii="方正书宋_GBK" w:eastAsia="方正书宋_GBK"/>
              </w:rPr>
              <w:t>万元，住宿费</w:t>
            </w:r>
            <w:r>
              <w:rPr>
                <w:rFonts w:ascii="方正书宋_GBK" w:eastAsia="方正书宋_GBK"/>
              </w:rPr>
              <w:t>120</w:t>
            </w:r>
            <w:r>
              <w:rPr>
                <w:rFonts w:hint="eastAsia" w:ascii="方正书宋_GBK" w:eastAsia="方正书宋_GBK"/>
              </w:rPr>
              <w:t>元</w:t>
            </w:r>
            <w:r>
              <w:rPr>
                <w:rFonts w:ascii="方正书宋_GBK" w:eastAsia="方正书宋_GBK"/>
              </w:rPr>
              <w:t>*1180</w:t>
            </w:r>
            <w:r>
              <w:rPr>
                <w:rFonts w:hint="eastAsia" w:ascii="方正书宋_GBK" w:eastAsia="方正书宋_GBK"/>
              </w:rPr>
              <w:t>人</w:t>
            </w:r>
            <w:r>
              <w:rPr>
                <w:rFonts w:ascii="方正书宋_GBK" w:eastAsia="方正书宋_GBK"/>
              </w:rPr>
              <w:t>=14.16</w:t>
            </w:r>
            <w:r>
              <w:rPr>
                <w:rFonts w:hint="eastAsia" w:ascii="方正书宋_GBK" w:eastAsia="方正书宋_GBK"/>
              </w:rPr>
              <w:t>万元，伙食费</w:t>
            </w:r>
            <w:r>
              <w:rPr>
                <w:rFonts w:ascii="方正书宋_GBK" w:eastAsia="方正书宋_GBK"/>
              </w:rPr>
              <w:t>45</w:t>
            </w:r>
            <w:r>
              <w:rPr>
                <w:rFonts w:hint="eastAsia" w:ascii="方正书宋_GBK" w:eastAsia="方正书宋_GBK"/>
              </w:rPr>
              <w:t>元</w:t>
            </w:r>
            <w:r>
              <w:rPr>
                <w:rFonts w:ascii="方正书宋_GBK" w:eastAsia="方正书宋_GBK"/>
              </w:rPr>
              <w:t>*3</w:t>
            </w:r>
            <w:r>
              <w:rPr>
                <w:rFonts w:hint="eastAsia" w:ascii="方正书宋_GBK" w:eastAsia="方正书宋_GBK"/>
              </w:rPr>
              <w:t>次</w:t>
            </w:r>
            <w:r>
              <w:rPr>
                <w:rFonts w:ascii="方正书宋_GBK" w:eastAsia="方正书宋_GBK"/>
              </w:rPr>
              <w:t>*1180</w:t>
            </w:r>
            <w:r>
              <w:rPr>
                <w:rFonts w:hint="eastAsia" w:ascii="方正书宋_GBK" w:eastAsia="方正书宋_GBK"/>
              </w:rPr>
              <w:t>人</w:t>
            </w:r>
            <w:r>
              <w:rPr>
                <w:rFonts w:ascii="方正书宋_GBK" w:eastAsia="方正书宋_GBK"/>
              </w:rPr>
              <w:t>=15.93</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、建立帮教小组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、实现一体化监管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培训社矫对象数量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培训社矫对象数量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矫正对象入网学习</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矫正对象入网学习情况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社区矫正对象入选率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社区矫正对象入选情况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社区矫正对象入网定位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社区矫正对象入网定位数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社区矫正对象重复矫正率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社区矫正对象重复矫正率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0.1</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矫正对象满意度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矫正对象满意度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13、行政复议经费绩效目标表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1796901"/>
      <w:r>
        <w:rPr>
          <w:rFonts w:hint="eastAsia" w:ascii="方正仿宋_GBK" w:eastAsia="方正仿宋_GBK"/>
          <w:b/>
          <w:sz w:val="28"/>
        </w:rPr>
        <w:instrText xml:space="preserve">13、行政复议经费绩效目标表</w:instrText>
      </w:r>
      <w:bookmarkEnd w:id="1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000-9999-JSN-N4TP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行政复议经费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开展行政复议工作和行政应诉工作，积极参加应诉；加强全市行政复议监督指导，组织全市行政复议办案人员参加。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、加强法制建设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、促进依法行政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案件办结率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办结案件数量占立案案件总数的比例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行政复议案件审结率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审结的行政复议案件占所有行政案件的比例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案件办理时限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案件办理天数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人均培训费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人均每天培训费用</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投诉率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当事人投诉占办理案件比例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当事人对办理案件的满意程度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0.49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14、医疗纠纷委员会业务经费绩效目标表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1796902"/>
      <w:r>
        <w:rPr>
          <w:rFonts w:hint="eastAsia" w:ascii="方正仿宋_GBK" w:eastAsia="方正仿宋_GBK"/>
          <w:b/>
          <w:sz w:val="28"/>
        </w:rPr>
        <w:instrText xml:space="preserve">14、医疗纠纷委员会业务经费绩效目标表</w:instrText>
      </w:r>
      <w:bookmarkEnd w:id="14"/>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000-9999-JSN-NNH8</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医疗纠纷委员会业务经费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省市两办文件要求，成立专业性调解委员会，主要用于医疗纠纷调解委员会工作经费，医疗纠纷调解委员会补贴经费、专职医疗纠纷调解委员会调解员聘用经费，按规定承担医疗纠纷调解委员会办案补贴及专家咨询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、医患纠纷调解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、良好的医患关系</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医患纠纷调解数量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医患纠纷调解数量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调解完成率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调解完成情况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医患纠纷调解率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医患纠纷调解情况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政策宣传数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医患政策宣传份数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份</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群众投诉率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群众投诉情况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15、执法培训经费绩效目标表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1796903"/>
      <w:r>
        <w:rPr>
          <w:rFonts w:hint="eastAsia" w:ascii="方正仿宋_GBK" w:eastAsia="方正仿宋_GBK"/>
          <w:b/>
          <w:sz w:val="28"/>
        </w:rPr>
        <w:instrText xml:space="preserve">15、执法培训经费绩效目标表</w:instrText>
      </w:r>
      <w:bookmarkEnd w:id="15"/>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000-9999-JSN-68X8</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加强对行政执法人员资格审查、年检考试、证件管理、培训，加强对执法行为的监督检查，审核行政执法主体资格，提高执法水平。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、提高执法人员专业水平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、促进依法行政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培训时间完成情况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培训时间完成情况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培训出勤率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培训出勤人数占应参会人数比例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人均投入成本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人均培训费用</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通过考试的比例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通过考试的比例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合格人数占考试人数比例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满意人数占参会人数比例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16、中央空调项目绩效目标表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1796904"/>
      <w:r>
        <w:rPr>
          <w:rFonts w:hint="eastAsia" w:ascii="方正仿宋_GBK" w:eastAsia="方正仿宋_GBK"/>
          <w:b/>
          <w:sz w:val="28"/>
        </w:rPr>
        <w:instrText xml:space="preserve">16、中央空调项目绩效目标表</w:instrText>
      </w:r>
      <w:bookmarkEnd w:id="16"/>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000-9999-JSN-8HBP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中央空调项目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因机关用房为文物保护用房，不允许使用外挂式空调，因此机关改为中央空调，中央空调每年的维护费用及电费</w:t>
            </w:r>
            <w:r>
              <w:rPr>
                <w:rFonts w:hint="eastAsia" w:ascii="方正书宋_GBK" w:eastAsia="方正书宋_GBK"/>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、提高执法人员专业水平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、促进依法行政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年运行时间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年运行时间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供暖面积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供暖面积</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2500</w:t>
            </w:r>
            <w:r>
              <w:rPr>
                <w:rFonts w:hint="eastAsia" w:ascii="方正书宋_GBK" w:eastAsia="方正书宋_GBK"/>
              </w:rPr>
              <w:t>平方米</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冬季运行温度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冬季运行温度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摄氏度</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年运行维护成本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年运行维护成本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供暖人数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供暖人数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643" w:firstLineChars="200"/>
        <w:rPr>
          <w:rFonts w:hint="eastAsia" w:ascii="仿宋_GB2312" w:hAnsi="Times New Roman" w:eastAsia="仿宋_GB2312" w:cs="Times New Roman"/>
          <w:b/>
          <w:sz w:val="32"/>
          <w:szCs w:val="32"/>
        </w:rPr>
      </w:pPr>
    </w:p>
    <w:p>
      <w:pPr>
        <w:ind w:firstLine="560"/>
        <w:rPr>
          <w:rFonts w:ascii="Times New Roman" w:hAnsi="Times New Roman" w:eastAsia="方正仿宋_GBK" w:cs="Times New Roman"/>
          <w:sz w:val="32"/>
          <w:szCs w:val="32"/>
        </w:rPr>
      </w:pPr>
    </w:p>
    <w:p>
      <w:pPr>
        <w:numPr>
          <w:ilvl w:val="0"/>
          <w:numId w:val="2"/>
        </w:numPr>
        <w:ind w:firstLine="56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 xml:space="preserve"> 预算项目绩效目标：</w:t>
      </w:r>
    </w:p>
    <w:p>
      <w:pPr>
        <w:ind w:firstLine="560" w:firstLineChars="200"/>
        <w:jc w:val="left"/>
        <w:outlineLvl w:val="1"/>
        <w:rPr>
          <w:rFonts w:ascii="Times New Roman" w:hAnsi="宋体"/>
          <w:b/>
          <w:sz w:val="28"/>
        </w:rPr>
      </w:pPr>
      <w:r>
        <w:rPr>
          <w:rFonts w:hint="eastAsia" w:ascii="方正仿宋_GBK" w:eastAsia="方正仿宋_GBK"/>
          <w:b/>
          <w:sz w:val="28"/>
        </w:rPr>
        <w:t>1、戒毒所被装购置费绩效目标表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31796905"/>
      <w:r>
        <w:rPr>
          <w:rFonts w:hint="eastAsia" w:ascii="方正仿宋_GBK" w:eastAsia="方正仿宋_GBK"/>
          <w:b/>
          <w:sz w:val="28"/>
        </w:rPr>
        <w:instrText xml:space="preserve">1、戒毒所被装购置费绩效目标表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324004</w:t>
            </w:r>
            <w:r>
              <w:rPr>
                <w:rFonts w:hint="eastAsia" w:ascii="方正书宋_GBK" w:eastAsia="方正书宋_GBK"/>
                <w:b/>
              </w:rPr>
              <w:t>承德市戒毒管理所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324-0501-JCN-U1QC</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戒毒所被装购置费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年戒毒所干警着装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、干警着装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、干警着装</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制作与发放外宣品的数量（份）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反映满足全省涉外活动对外宣品的需求情况</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达到绿色产业标准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应急救助率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得到应急医疗救助的患者数量占符合条件应救助患者总数的比例</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2、戒毒所电网维护费绩效目标表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8" w:name="_Toc31796906"/>
      <w:r>
        <w:rPr>
          <w:rFonts w:hint="eastAsia" w:ascii="方正仿宋_GBK" w:eastAsia="方正仿宋_GBK"/>
          <w:b/>
          <w:sz w:val="28"/>
        </w:rPr>
        <w:instrText xml:space="preserve">2、戒毒所电网维护费绩效目标表</w:instrText>
      </w:r>
      <w:bookmarkEnd w:id="1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324004</w:t>
            </w:r>
            <w:r>
              <w:rPr>
                <w:rFonts w:hint="eastAsia" w:ascii="方正书宋_GBK" w:eastAsia="方正书宋_GBK"/>
                <w:b/>
              </w:rPr>
              <w:t>承德市戒毒管理所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324-0501-JCN-ULDK</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戒毒所电网维护费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电网维护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、收治戒毒</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、收治戒毒</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达到绿色产业标准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numPr>
          <w:ilvl w:val="0"/>
          <w:numId w:val="0"/>
        </w:numPr>
        <w:rPr>
          <w:rFonts w:hint="eastAsia" w:ascii="仿宋_GB2312" w:hAnsi="Times New Roman" w:eastAsia="仿宋_GB2312" w:cs="Times New Roman"/>
          <w:b/>
          <w:sz w:val="32"/>
          <w:szCs w:val="32"/>
        </w:rPr>
      </w:pPr>
    </w:p>
    <w:bookmarkEnd w:id="0"/>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六、政府采购预算情况 </w:t>
      </w:r>
    </w:p>
    <w:p>
      <w:pPr>
        <w:ind w:firstLine="640" w:firstLineChars="200"/>
        <w:outlineLvl w:val="0"/>
        <w:rPr>
          <w:rFonts w:ascii="方正仿宋_GBK" w:hAnsi="仿宋_GB2312" w:eastAsia="方正仿宋_GBK" w:cs="仿宋_GB2312"/>
          <w:bCs/>
          <w:sz w:val="32"/>
          <w:szCs w:val="32"/>
        </w:rPr>
      </w:pPr>
      <w:bookmarkStart w:id="19" w:name="_Toc471398468"/>
      <w:r>
        <w:rPr>
          <w:rFonts w:hint="eastAsia" w:ascii="方正仿宋_GBK" w:hAnsi="仿宋_GB2312" w:eastAsia="方正仿宋_GBK" w:cs="仿宋_GB2312"/>
          <w:bCs/>
          <w:sz w:val="32"/>
          <w:szCs w:val="32"/>
        </w:rPr>
        <w:t>2020年，我</w:t>
      </w:r>
      <w:r>
        <w:rPr>
          <w:rFonts w:hint="eastAsia" w:ascii="方正仿宋_GBK" w:hAnsi="仿宋_GB2312" w:eastAsia="方正仿宋_GBK" w:cs="仿宋_GB2312"/>
          <w:bCs/>
          <w:sz w:val="32"/>
          <w:szCs w:val="32"/>
          <w:lang w:eastAsia="zh-CN"/>
        </w:rPr>
        <w:t>局</w:t>
      </w:r>
      <w:r>
        <w:rPr>
          <w:rFonts w:hint="eastAsia" w:ascii="方正仿宋_GBK" w:hAnsi="仿宋_GB2312" w:eastAsia="方正仿宋_GBK" w:cs="仿宋_GB2312"/>
          <w:bCs/>
          <w:sz w:val="32"/>
          <w:szCs w:val="32"/>
        </w:rPr>
        <w:t>安排政府采购预算</w:t>
      </w:r>
      <w:r>
        <w:rPr>
          <w:rFonts w:hint="eastAsia" w:ascii="方正仿宋_GBK" w:hAnsi="仿宋_GB2312" w:eastAsia="方正仿宋_GBK" w:cs="仿宋_GB2312"/>
          <w:bCs/>
          <w:sz w:val="32"/>
          <w:szCs w:val="32"/>
          <w:lang w:val="en-US" w:eastAsia="zh-CN"/>
        </w:rPr>
        <w:t>0</w:t>
      </w:r>
      <w:r>
        <w:rPr>
          <w:rFonts w:hint="eastAsia" w:ascii="方正仿宋_GBK" w:hAnsi="仿宋_GB2312" w:eastAsia="方正仿宋_GBK" w:cs="仿宋_GB2312"/>
          <w:bCs/>
          <w:sz w:val="32"/>
          <w:szCs w:val="32"/>
        </w:rPr>
        <w:t>万元。</w:t>
      </w:r>
    </w:p>
    <w:bookmarkEnd w:id="19"/>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承德市司法局</w:t>
      </w:r>
      <w:r>
        <w:rPr>
          <w:rFonts w:hint="eastAsia" w:ascii="仿宋_GB2312" w:hAnsi="黑体" w:eastAsia="仿宋_GB2312" w:cs="Times New Roman"/>
          <w:sz w:val="32"/>
          <w:szCs w:val="32"/>
        </w:rPr>
        <w:t>（含所属单位）上年末固定资产金额为</w:t>
      </w:r>
      <w:r>
        <w:rPr>
          <w:rFonts w:hint="eastAsia" w:ascii="仿宋_GB2312" w:hAnsi="Times New Roman" w:eastAsia="仿宋_GB2312" w:cs="Times New Roman"/>
          <w:sz w:val="32"/>
          <w:szCs w:val="32"/>
          <w:lang w:val="en-US" w:eastAsia="zh-CN"/>
        </w:rPr>
        <w:t>3955.69</w:t>
      </w:r>
      <w:r>
        <w:rPr>
          <w:rFonts w:hint="eastAsia" w:ascii="仿宋_GB2312" w:hAnsi="黑体" w:eastAsia="仿宋_GB2312" w:cs="Times New Roman"/>
          <w:sz w:val="32"/>
          <w:szCs w:val="32"/>
        </w:rPr>
        <w:t>万元（</w:t>
      </w:r>
      <w:r>
        <w:rPr>
          <w:rFonts w:hint="eastAsia" w:ascii="仿宋_GB2312" w:hAnsi="Times New Roman" w:eastAsia="仿宋_GB2312" w:cs="Times New Roman"/>
          <w:sz w:val="32"/>
          <w:szCs w:val="32"/>
        </w:rPr>
        <w:t>详见下表）</w:t>
      </w:r>
      <w:r>
        <w:rPr>
          <w:rFonts w:hint="eastAsia" w:ascii="仿宋_GB2312" w:hAnsi="Times New Roman" w:eastAsia="仿宋_GB2312" w:cs="Times New Roman"/>
          <w:sz w:val="32"/>
          <w:szCs w:val="32"/>
          <w:lang w:eastAsia="zh-CN"/>
        </w:rPr>
        <w:t>。</w:t>
      </w:r>
    </w:p>
    <w:tbl>
      <w:tblPr>
        <w:tblStyle w:val="9"/>
        <w:tblW w:w="7909" w:type="dxa"/>
        <w:tblInd w:w="93" w:type="dxa"/>
        <w:tblLayout w:type="fixed"/>
        <w:tblCellMar>
          <w:top w:w="0" w:type="dxa"/>
          <w:left w:w="108" w:type="dxa"/>
          <w:bottom w:w="0" w:type="dxa"/>
          <w:right w:w="108" w:type="dxa"/>
        </w:tblCellMar>
      </w:tblPr>
      <w:tblGrid>
        <w:gridCol w:w="3073"/>
        <w:gridCol w:w="1575"/>
        <w:gridCol w:w="3261"/>
      </w:tblGrid>
      <w:tr>
        <w:tblPrEx>
          <w:tblCellMar>
            <w:top w:w="0" w:type="dxa"/>
            <w:left w:w="108" w:type="dxa"/>
            <w:bottom w:w="0" w:type="dxa"/>
            <w:right w:w="108" w:type="dxa"/>
          </w:tblCellMar>
        </w:tblPrEx>
        <w:trPr>
          <w:trHeight w:val="705" w:hRule="atLeast"/>
        </w:trPr>
        <w:tc>
          <w:tcPr>
            <w:tcW w:w="7909"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4648"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kern w:val="0"/>
                <w:sz w:val="22"/>
                <w:lang w:eastAsia="zh-CN"/>
              </w:rPr>
              <w:t>承德市司法局</w:t>
            </w:r>
          </w:p>
        </w:tc>
        <w:tc>
          <w:tcPr>
            <w:tcW w:w="326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截止时间：2019年12月31日  </w:t>
            </w:r>
          </w:p>
        </w:tc>
      </w:tr>
      <w:tr>
        <w:tblPrEx>
          <w:tblCellMar>
            <w:top w:w="0" w:type="dxa"/>
            <w:left w:w="108" w:type="dxa"/>
            <w:bottom w:w="0" w:type="dxa"/>
            <w:right w:w="108" w:type="dxa"/>
          </w:tblCellMar>
        </w:tblPrEx>
        <w:trPr>
          <w:trHeight w:val="645" w:hRule="atLeast"/>
        </w:trPr>
        <w:tc>
          <w:tcPr>
            <w:tcW w:w="30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30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w:t>
            </w:r>
          </w:p>
        </w:tc>
        <w:tc>
          <w:tcPr>
            <w:tcW w:w="326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kern w:val="0"/>
                <w:sz w:val="22"/>
                <w:lang w:val="en-US" w:eastAsia="zh-CN"/>
              </w:rPr>
            </w:pPr>
            <w:r>
              <w:rPr>
                <w:rFonts w:hint="eastAsia" w:ascii="宋体" w:hAnsi="宋体" w:eastAsia="宋体" w:cs="宋体"/>
                <w:color w:val="000000"/>
                <w:kern w:val="0"/>
                <w:sz w:val="22"/>
                <w:lang w:val="en-US" w:eastAsia="zh-CN"/>
              </w:rPr>
              <w:t>3955.69</w:t>
            </w:r>
          </w:p>
        </w:tc>
      </w:tr>
      <w:tr>
        <w:tblPrEx>
          <w:tblCellMar>
            <w:top w:w="0" w:type="dxa"/>
            <w:left w:w="108" w:type="dxa"/>
            <w:bottom w:w="0" w:type="dxa"/>
            <w:right w:w="108" w:type="dxa"/>
          </w:tblCellMar>
        </w:tblPrEx>
        <w:trPr>
          <w:trHeight w:val="645" w:hRule="atLeast"/>
        </w:trPr>
        <w:tc>
          <w:tcPr>
            <w:tcW w:w="30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sz w:val="22"/>
                <w:lang w:val="en-US" w:eastAsia="zh-CN"/>
              </w:rPr>
            </w:pPr>
            <w:r>
              <w:rPr>
                <w:rFonts w:hint="eastAsia" w:ascii="宋体" w:hAnsi="宋体" w:eastAsia="宋体" w:cs="宋体"/>
                <w:color w:val="000000"/>
                <w:kern w:val="0"/>
                <w:sz w:val="24"/>
                <w:szCs w:val="24"/>
                <w:lang w:val="en-US" w:eastAsia="zh-CN"/>
              </w:rPr>
              <w:t>12999.74</w:t>
            </w:r>
          </w:p>
        </w:tc>
        <w:tc>
          <w:tcPr>
            <w:tcW w:w="326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sz w:val="22"/>
                <w:lang w:val="en-US" w:eastAsia="zh-CN"/>
              </w:rPr>
            </w:pPr>
            <w:r>
              <w:rPr>
                <w:rFonts w:hint="eastAsia" w:ascii="宋体" w:hAnsi="宋体" w:eastAsia="宋体" w:cs="宋体"/>
                <w:color w:val="000000"/>
                <w:kern w:val="0"/>
                <w:sz w:val="22"/>
                <w:lang w:val="en-US" w:eastAsia="zh-CN"/>
              </w:rPr>
              <w:t>2420.84</w:t>
            </w:r>
          </w:p>
        </w:tc>
      </w:tr>
      <w:tr>
        <w:tblPrEx>
          <w:tblCellMar>
            <w:top w:w="0" w:type="dxa"/>
            <w:left w:w="108" w:type="dxa"/>
            <w:bottom w:w="0" w:type="dxa"/>
            <w:right w:w="108" w:type="dxa"/>
          </w:tblCellMar>
        </w:tblPrEx>
        <w:trPr>
          <w:trHeight w:val="645" w:hRule="atLeast"/>
        </w:trPr>
        <w:tc>
          <w:tcPr>
            <w:tcW w:w="30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sz w:val="22"/>
                <w:lang w:val="en-US" w:eastAsia="zh-CN"/>
              </w:rPr>
            </w:pPr>
            <w:r>
              <w:rPr>
                <w:rFonts w:hint="eastAsia" w:ascii="宋体" w:hAnsi="宋体" w:eastAsia="宋体" w:cs="宋体"/>
                <w:color w:val="000000"/>
                <w:kern w:val="0"/>
                <w:sz w:val="24"/>
                <w:szCs w:val="24"/>
                <w:lang w:val="en-US" w:eastAsia="zh-CN"/>
              </w:rPr>
              <w:t>10059</w:t>
            </w:r>
          </w:p>
        </w:tc>
        <w:tc>
          <w:tcPr>
            <w:tcW w:w="326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sz w:val="22"/>
                <w:lang w:val="en-US" w:eastAsia="zh-CN"/>
              </w:rPr>
            </w:pPr>
            <w:r>
              <w:rPr>
                <w:rFonts w:hint="eastAsia" w:ascii="宋体" w:hAnsi="宋体" w:eastAsia="宋体" w:cs="宋体"/>
                <w:color w:val="000000"/>
                <w:kern w:val="0"/>
                <w:sz w:val="22"/>
                <w:lang w:val="en-US" w:eastAsia="zh-CN"/>
              </w:rPr>
              <w:t>926.6</w:t>
            </w:r>
          </w:p>
        </w:tc>
      </w:tr>
      <w:tr>
        <w:tblPrEx>
          <w:tblCellMar>
            <w:top w:w="0" w:type="dxa"/>
            <w:left w:w="108" w:type="dxa"/>
            <w:bottom w:w="0" w:type="dxa"/>
            <w:right w:w="108" w:type="dxa"/>
          </w:tblCellMar>
        </w:tblPrEx>
        <w:trPr>
          <w:trHeight w:val="645" w:hRule="atLeast"/>
        </w:trPr>
        <w:tc>
          <w:tcPr>
            <w:tcW w:w="30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sz w:val="22"/>
                <w:lang w:val="en-US" w:eastAsia="zh-CN"/>
              </w:rPr>
            </w:pPr>
            <w:r>
              <w:rPr>
                <w:rFonts w:hint="eastAsia" w:ascii="宋体" w:hAnsi="宋体" w:eastAsia="宋体" w:cs="宋体"/>
                <w:color w:val="000000"/>
                <w:kern w:val="0"/>
                <w:sz w:val="24"/>
                <w:szCs w:val="24"/>
                <w:lang w:val="en-US" w:eastAsia="zh-CN"/>
              </w:rPr>
              <w:t>28</w:t>
            </w:r>
          </w:p>
        </w:tc>
        <w:tc>
          <w:tcPr>
            <w:tcW w:w="326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sz w:val="22"/>
                <w:lang w:val="en-US" w:eastAsia="zh-CN"/>
              </w:rPr>
            </w:pPr>
            <w:r>
              <w:rPr>
                <w:rFonts w:hint="eastAsia" w:ascii="宋体" w:hAnsi="宋体" w:eastAsia="宋体" w:cs="宋体"/>
                <w:color w:val="000000"/>
                <w:kern w:val="0"/>
                <w:sz w:val="22"/>
                <w:lang w:val="en-US" w:eastAsia="zh-CN"/>
              </w:rPr>
              <w:t>462.77</w:t>
            </w:r>
          </w:p>
        </w:tc>
      </w:tr>
      <w:tr>
        <w:tblPrEx>
          <w:tblCellMar>
            <w:top w:w="0" w:type="dxa"/>
            <w:left w:w="108" w:type="dxa"/>
            <w:bottom w:w="0" w:type="dxa"/>
            <w:right w:w="108" w:type="dxa"/>
          </w:tblCellMar>
        </w:tblPrEx>
        <w:trPr>
          <w:trHeight w:val="645" w:hRule="atLeast"/>
        </w:trPr>
        <w:tc>
          <w:tcPr>
            <w:tcW w:w="30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rPr>
            </w:pPr>
          </w:p>
        </w:tc>
        <w:tc>
          <w:tcPr>
            <w:tcW w:w="326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30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sz w:val="22"/>
                <w:lang w:val="en-US" w:eastAsia="zh-CN"/>
              </w:rPr>
            </w:pPr>
            <w:r>
              <w:rPr>
                <w:rFonts w:hint="eastAsia" w:ascii="宋体" w:hAnsi="宋体" w:eastAsia="宋体" w:cs="宋体"/>
                <w:color w:val="000000"/>
                <w:kern w:val="0"/>
                <w:sz w:val="24"/>
                <w:szCs w:val="24"/>
                <w:lang w:val="en-US" w:eastAsia="zh-CN"/>
              </w:rPr>
              <w:t>879</w:t>
            </w:r>
          </w:p>
        </w:tc>
        <w:tc>
          <w:tcPr>
            <w:tcW w:w="326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sz w:val="22"/>
                <w:lang w:val="en-US" w:eastAsia="zh-CN"/>
              </w:rPr>
            </w:pPr>
            <w:r>
              <w:rPr>
                <w:rFonts w:hint="eastAsia" w:ascii="宋体" w:hAnsi="宋体" w:eastAsia="宋体" w:cs="宋体"/>
                <w:color w:val="000000"/>
                <w:kern w:val="0"/>
                <w:sz w:val="22"/>
                <w:lang w:val="en-US" w:eastAsia="zh-CN"/>
              </w:rPr>
              <w:t>1072.08</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rPr>
        <w:t>1、一般公共预算拨款收入：</w:t>
      </w:r>
      <w:r>
        <w:rPr>
          <w:rFonts w:hint="eastAsia" w:ascii="方正仿宋_GBK" w:hAnsi="Times New Roman" w:eastAsia="方正仿宋_GBK" w:cs="Times New Roman"/>
          <w:sz w:val="32"/>
          <w:szCs w:val="32"/>
        </w:rPr>
        <w:t>指</w:t>
      </w:r>
      <w:r>
        <w:rPr>
          <w:rFonts w:hint="eastAsia" w:ascii="方正仿宋_GBK" w:hAnsi="Times New Roman" w:eastAsia="方正仿宋_GBK" w:cs="Times New Roman"/>
          <w:sz w:val="32"/>
          <w:szCs w:val="32"/>
          <w:lang w:eastAsia="zh-CN"/>
        </w:rPr>
        <w:t>市</w:t>
      </w:r>
      <w:r>
        <w:rPr>
          <w:rFonts w:hint="eastAsia" w:ascii="方正仿宋_GBK" w:hAnsi="Times New Roman" w:eastAsia="方正仿宋_GBK" w:cs="Times New Roman"/>
          <w:sz w:val="32"/>
          <w:szCs w:val="32"/>
        </w:rPr>
        <w:t>级财政当年拨付的资金。</w:t>
      </w:r>
    </w:p>
    <w:p>
      <w:pPr>
        <w:tabs>
          <w:tab w:val="left" w:pos="11490"/>
        </w:tabs>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lang w:val="en-US" w:eastAsia="zh-CN"/>
        </w:rPr>
        <w:t>2</w:t>
      </w:r>
      <w:r>
        <w:rPr>
          <w:rFonts w:hint="eastAsia" w:ascii="方正仿宋_GBK" w:hAnsi="Times New Roman" w:eastAsia="方正仿宋_GBK" w:cs="Times New Roman"/>
          <w:b/>
          <w:sz w:val="32"/>
          <w:szCs w:val="32"/>
        </w:rPr>
        <w:t>、基本支出：</w:t>
      </w:r>
      <w:r>
        <w:rPr>
          <w:rFonts w:hint="eastAsia" w:ascii="方正仿宋_GBK"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lang w:val="en-US" w:eastAsia="zh-CN"/>
        </w:rPr>
        <w:t>3</w:t>
      </w:r>
      <w:r>
        <w:rPr>
          <w:rFonts w:hint="eastAsia" w:ascii="方正仿宋_GBK" w:hAnsi="Times New Roman" w:eastAsia="方正仿宋_GBK" w:cs="Times New Roman"/>
          <w:b/>
          <w:sz w:val="32"/>
          <w:szCs w:val="32"/>
        </w:rPr>
        <w:t>、项目支出：</w:t>
      </w:r>
      <w:r>
        <w:rPr>
          <w:rFonts w:hint="eastAsia" w:ascii="方正仿宋_GBK"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lang w:val="en-US" w:eastAsia="zh-CN"/>
        </w:rPr>
        <w:t>4</w:t>
      </w:r>
      <w:r>
        <w:rPr>
          <w:rFonts w:hint="eastAsia" w:ascii="方正仿宋_GBK" w:hAnsi="Times New Roman" w:eastAsia="方正仿宋_GBK" w:cs="Times New Roman"/>
          <w:b/>
          <w:sz w:val="32"/>
          <w:szCs w:val="32"/>
        </w:rPr>
        <w:t>、“三公”经费：</w:t>
      </w:r>
      <w:r>
        <w:rPr>
          <w:rFonts w:hint="eastAsia" w:ascii="方正仿宋_GBK" w:hAnsi="Times New Roman" w:eastAsia="方正仿宋_GBK" w:cs="Times New Roman"/>
          <w:sz w:val="32"/>
          <w:szCs w:val="32"/>
        </w:rPr>
        <w:t>纳入</w:t>
      </w:r>
      <w:r>
        <w:rPr>
          <w:rFonts w:hint="eastAsia" w:ascii="方正仿宋_GBK" w:hAnsi="Times New Roman" w:eastAsia="方正仿宋_GBK" w:cs="Times New Roman"/>
          <w:sz w:val="32"/>
          <w:szCs w:val="32"/>
          <w:lang w:eastAsia="zh-CN"/>
        </w:rPr>
        <w:t>市</w:t>
      </w:r>
      <w:r>
        <w:rPr>
          <w:rFonts w:hint="eastAsia" w:ascii="方正仿宋_GBK" w:hAnsi="Times New Roman" w:eastAsia="方正仿宋_GBK" w:cs="Times New Roman"/>
          <w:sz w:val="32"/>
          <w:szCs w:val="32"/>
        </w:rPr>
        <w:t>级财政预算管理的“三公”经费，是指</w:t>
      </w:r>
      <w:r>
        <w:rPr>
          <w:rFonts w:hint="eastAsia" w:ascii="方正仿宋_GBK" w:hAnsi="Times New Roman" w:eastAsia="方正仿宋_GBK" w:cs="Times New Roman"/>
          <w:sz w:val="32"/>
          <w:szCs w:val="32"/>
          <w:lang w:eastAsia="zh-CN"/>
        </w:rPr>
        <w:t>市</w:t>
      </w:r>
      <w:r>
        <w:rPr>
          <w:rFonts w:hint="eastAsia" w:ascii="方正仿宋_GBK" w:hAnsi="Times New Roman" w:eastAsia="方正仿宋_GBK"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lang w:val="en-US" w:eastAsia="zh-CN"/>
        </w:rPr>
        <w:t>5</w:t>
      </w:r>
      <w:r>
        <w:rPr>
          <w:rFonts w:hint="eastAsia" w:ascii="方正仿宋_GBK" w:hAnsi="Times New Roman" w:eastAsia="方正仿宋_GBK" w:cs="Times New Roman"/>
          <w:b/>
          <w:sz w:val="32"/>
          <w:szCs w:val="32"/>
        </w:rPr>
        <w:t>、机关运行费：</w:t>
      </w:r>
      <w:r>
        <w:rPr>
          <w:rFonts w:hint="eastAsia" w:ascii="方正仿宋_GBK"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sz w:val="32"/>
          <w:szCs w:val="32"/>
          <w:lang w:val="en-US" w:eastAsia="zh-CN"/>
        </w:rPr>
        <w:t>6</w:t>
      </w:r>
      <w:r>
        <w:rPr>
          <w:rFonts w:hint="eastAsia" w:ascii="方正仿宋_GBK" w:hAnsi="Times New Roman" w:eastAsia="方正仿宋_GBK" w:cs="Times New Roman"/>
          <w:b/>
          <w:sz w:val="32"/>
          <w:szCs w:val="32"/>
        </w:rPr>
        <w:t>、上年结转：</w:t>
      </w:r>
      <w:r>
        <w:rPr>
          <w:rFonts w:hint="eastAsia" w:ascii="方正仿宋_GBK" w:hAnsi="Times New Roman" w:eastAsia="方正仿宋_GBK" w:cs="Times New Roman"/>
          <w:sz w:val="32"/>
          <w:szCs w:val="32"/>
        </w:rPr>
        <w:t>指以前年度尚未完成、结转到本年仍按原规定用途继续使用的资金。</w:t>
      </w:r>
    </w:p>
    <w:p>
      <w:pPr>
        <w:autoSpaceDE w:val="0"/>
        <w:autoSpaceDN w:val="0"/>
        <w:adjustRightInd w:val="0"/>
        <w:ind w:left="198" w:firstLine="640" w:firstLineChars="200"/>
        <w:jc w:val="left"/>
        <w:rPr>
          <w:rFonts w:ascii="仿宋_GB2312" w:hAnsi="黑体" w:eastAsia="仿宋_GB2312" w:cs="Times New Roman"/>
          <w:sz w:val="32"/>
          <w:szCs w:val="32"/>
        </w:rPr>
      </w:pPr>
      <w:r>
        <w:rPr>
          <w:rFonts w:hint="eastAsia" w:ascii="黑体" w:hAnsi="黑体" w:eastAsia="黑体" w:cs="Times New Roman"/>
          <w:sz w:val="32"/>
          <w:szCs w:val="32"/>
        </w:rPr>
        <w:t>九、其他需要说明的事项</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我部门无其他需要说明的事项。</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十、本部门预算批复时间及批复文号</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批复时间：2020年2月5日</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lang w:eastAsia="zh-CN"/>
        </w:rPr>
        <w:t>批复文件：</w:t>
      </w:r>
      <w:r>
        <w:rPr>
          <w:rFonts w:hint="eastAsia" w:ascii="方正仿宋_GBK" w:hAnsi="Times New Roman" w:eastAsia="方正仿宋_GBK" w:cs="Times New Roman"/>
          <w:sz w:val="32"/>
          <w:szCs w:val="32"/>
        </w:rPr>
        <w:t>《承德市财政局关于批复2020年市本级部门收支预算的通知》承财预【2020】</w:t>
      </w:r>
      <w:r>
        <w:rPr>
          <w:rFonts w:hint="eastAsia" w:ascii="方正仿宋_GBK" w:hAnsi="Times New Roman" w:eastAsia="方正仿宋_GBK" w:cs="Times New Roman"/>
          <w:sz w:val="32"/>
          <w:szCs w:val="32"/>
          <w:lang w:val="en-US" w:eastAsia="zh-CN"/>
        </w:rPr>
        <w:t>24</w:t>
      </w:r>
      <w:r>
        <w:rPr>
          <w:rFonts w:hint="eastAsia" w:ascii="方正仿宋_GBK" w:hAnsi="Times New Roman" w:eastAsia="方正仿宋_GBK" w:cs="Times New Roman"/>
          <w:sz w:val="32"/>
          <w:szCs w:val="32"/>
        </w:rPr>
        <w:t>号。</w:t>
      </w:r>
    </w:p>
    <w:p>
      <w:pPr>
        <w:ind w:firstLine="640" w:firstLineChars="200"/>
        <w:rPr>
          <w:rFonts w:hint="eastAsia" w:ascii="方正仿宋_GBK"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space"/>
      <w:lvlText w:val="第%1部分"/>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YmRhODRmZjM3ODRmOTIxNGZhNTA4MmQ4NzhjNDEifQ=="/>
    <w:docVar w:name="KSO_WPS_MARK_KEY" w:val="052daced-fbd2-442c-86b9-c95a9c7a2827"/>
  </w:docVars>
  <w:rsids>
    <w:rsidRoot w:val="00000000"/>
    <w:rsid w:val="070D0EFB"/>
    <w:rsid w:val="0D6A652F"/>
    <w:rsid w:val="1B2678F6"/>
    <w:rsid w:val="495E4A2C"/>
    <w:rsid w:val="4C87260E"/>
    <w:rsid w:val="5E67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alloon Text"/>
    <w:basedOn w:val="1"/>
    <w:link w:val="17"/>
    <w:qFormat/>
    <w:uiPriority w:val="99"/>
    <w:rPr>
      <w:sz w:val="18"/>
      <w:szCs w:val="18"/>
    </w:rPr>
  </w:style>
  <w:style w:type="paragraph" w:styleId="3">
    <w:name w:val="footer"/>
    <w:basedOn w:val="1"/>
    <w:link w:val="2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2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9"/>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page number"/>
    <w:qFormat/>
    <w:uiPriority w:val="99"/>
  </w:style>
  <w:style w:type="character" w:styleId="12">
    <w:name w:val="FollowedHyperlink"/>
    <w:basedOn w:val="10"/>
    <w:qFormat/>
    <w:uiPriority w:val="99"/>
    <w:rPr>
      <w:color w:val="954F72"/>
      <w:u w:val="single"/>
    </w:rPr>
  </w:style>
  <w:style w:type="character" w:styleId="13">
    <w:name w:val="Hyperlink"/>
    <w:qFormat/>
    <w:uiPriority w:val="99"/>
    <w:rPr>
      <w:color w:val="0000FF"/>
      <w:u w:val="single"/>
    </w:rPr>
  </w:style>
  <w:style w:type="character" w:styleId="14">
    <w:name w:val="footnote reference"/>
    <w:qFormat/>
    <w:uiPriority w:val="99"/>
    <w:rPr>
      <w:vertAlign w:val="superscript"/>
    </w:rPr>
  </w:style>
  <w:style w:type="character" w:customStyle="1" w:styleId="15">
    <w:name w:val="页眉 字符"/>
    <w:basedOn w:val="10"/>
    <w:qFormat/>
    <w:uiPriority w:val="99"/>
    <w:rPr>
      <w:rFonts w:ascii="Times New Roman" w:hAnsi="Times New Roman" w:eastAsia="宋体" w:cs="Times New Roman"/>
      <w:sz w:val="18"/>
      <w:szCs w:val="18"/>
    </w:rPr>
  </w:style>
  <w:style w:type="character" w:customStyle="1" w:styleId="16">
    <w:name w:val="页脚 字符"/>
    <w:basedOn w:val="10"/>
    <w:qFormat/>
    <w:uiPriority w:val="99"/>
    <w:rPr>
      <w:rFonts w:ascii="Times New Roman" w:hAnsi="Times New Roman" w:eastAsia="宋体" w:cs="Times New Roman"/>
      <w:sz w:val="18"/>
      <w:szCs w:val="18"/>
    </w:rPr>
  </w:style>
  <w:style w:type="character" w:customStyle="1" w:styleId="17">
    <w:name w:val="批注框文本 Char"/>
    <w:basedOn w:val="10"/>
    <w:link w:val="2"/>
    <w:qFormat/>
    <w:uiPriority w:val="99"/>
    <w:rPr>
      <w:sz w:val="18"/>
      <w:szCs w:val="18"/>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脚注文本 Char"/>
    <w:basedOn w:val="10"/>
    <w:link w:val="6"/>
    <w:qFormat/>
    <w:uiPriority w:val="99"/>
    <w:rPr>
      <w:rFonts w:ascii="Calibri" w:hAnsi="Calibri" w:eastAsia="宋体" w:cs="Times New Roman"/>
      <w:sz w:val="18"/>
      <w:szCs w:val="18"/>
    </w:rPr>
  </w:style>
  <w:style w:type="character" w:customStyle="1" w:styleId="20">
    <w:name w:val="页眉 Char"/>
    <w:basedOn w:val="10"/>
    <w:link w:val="4"/>
    <w:qFormat/>
    <w:uiPriority w:val="0"/>
    <w:rPr>
      <w:kern w:val="2"/>
      <w:sz w:val="18"/>
      <w:szCs w:val="18"/>
    </w:rPr>
  </w:style>
  <w:style w:type="character" w:customStyle="1" w:styleId="21">
    <w:name w:val="页脚 Char"/>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147D-4C2F-4DD6-A373-5C87EB1C6F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11705</Words>
  <Characters>12854</Characters>
  <Paragraphs>1680</Paragraphs>
  <TotalTime>4</TotalTime>
  <ScaleCrop>false</ScaleCrop>
  <LinksUpToDate>false</LinksUpToDate>
  <CharactersWithSpaces>12900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2020-02-22T05:57:00Z</dcterms:created>
  <dc:creator>guest</dc:creator>
  <cp:lastModifiedBy>Administrator</cp:lastModifiedBy>
  <cp:lastPrinted>2017-11-09T01:12:00Z</cp:lastPrinted>
  <dcterms:modified xsi:type="dcterms:W3CDTF">2024-03-25T02:49:48Z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82C3CFD9B55044FEB19CCF88592144FC</vt:lpwstr>
  </property>
</Properties>
</file>